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120" w:lineRule="auto"/>
        <w:jc w:val="both"/>
        <w:rPr>
          <w:b w:val="1"/>
          <w:color w:val="2e3f90"/>
          <w:sz w:val="32"/>
          <w:szCs w:val="32"/>
        </w:rPr>
      </w:pPr>
      <w:bookmarkStart w:colFirst="0" w:colLast="0" w:name="_lndb05a597ur" w:id="0"/>
      <w:bookmarkEnd w:id="0"/>
      <w:r w:rsidDel="00000000" w:rsidR="00000000" w:rsidRPr="00000000">
        <w:rPr>
          <w:b w:val="1"/>
          <w:color w:val="2e3f90"/>
          <w:sz w:val="32"/>
          <w:szCs w:val="32"/>
          <w:rtl w:val="0"/>
        </w:rPr>
        <w:t xml:space="preserve">Postopki izdajanja dovoljenj za učinkovito pospeševanje uvajanja izrabe sončne in vetrne energije: deset ključnih korakov</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Jasno je, da je treba širjenje pridobivanja energije iz obnovljivih virov pospešiti, vendar pa je to treba doseči na družbeno in okoljsko trajnosten način, ki bo EU omogočil pravičen prehod in kjer je vsak ukrep pretehtan glede na okoljsko škodo, ki jo lahko povzroči. S tem namenom je okoljska mrežna organizacija Climate Action Network Europe </w:t>
      </w:r>
      <w:r w:rsidDel="00000000" w:rsidR="00000000" w:rsidRPr="00000000">
        <w:rPr>
          <w:rFonts w:ascii="Times New Roman" w:cs="Times New Roman" w:eastAsia="Times New Roman" w:hAnsi="Times New Roman"/>
          <w:sz w:val="24"/>
          <w:szCs w:val="24"/>
          <w:rtl w:val="0"/>
        </w:rPr>
        <w:t xml:space="preserve">pripravila</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b w:val="1"/>
            <w:color w:val="1155cc"/>
            <w:sz w:val="24"/>
            <w:szCs w:val="24"/>
            <w:rtl w:val="0"/>
          </w:rPr>
          <w:t xml:space="preserve">pregled in konkretne </w:t>
        </w:r>
      </w:hyperlink>
      <w:hyperlink r:id="rId8">
        <w:r w:rsidDel="00000000" w:rsidR="00000000" w:rsidRPr="00000000">
          <w:rPr>
            <w:rFonts w:ascii="Times New Roman" w:cs="Times New Roman" w:eastAsia="Times New Roman" w:hAnsi="Times New Roman"/>
            <w:b w:val="1"/>
            <w:color w:val="1155cc"/>
            <w:sz w:val="24"/>
            <w:szCs w:val="24"/>
            <w:rtl w:val="0"/>
          </w:rPr>
          <w:t xml:space="preserve">napotke</w:t>
        </w:r>
      </w:hyperlink>
      <w:r w:rsidDel="00000000" w:rsidR="00000000" w:rsidRPr="00000000">
        <w:rPr>
          <w:rFonts w:ascii="Times New Roman" w:cs="Times New Roman" w:eastAsia="Times New Roman" w:hAnsi="Times New Roman"/>
          <w:sz w:val="24"/>
          <w:szCs w:val="24"/>
          <w:rtl w:val="0"/>
        </w:rPr>
        <w:t xml:space="preserve"> za hitrejše in pravičnejše izdajanje dovoljenj za uspešen evropski prehod na obnovljive vire energije. </w:t>
      </w:r>
    </w:p>
    <w:p w:rsidR="00000000" w:rsidDel="00000000" w:rsidP="00000000" w:rsidRDefault="00000000" w:rsidRPr="00000000" w14:paraId="00000004">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w:t>
      </w:r>
      <w:r w:rsidDel="00000000" w:rsidR="00000000" w:rsidRPr="00000000">
        <w:rPr>
          <w:rFonts w:ascii="Times New Roman" w:cs="Times New Roman" w:eastAsia="Times New Roman" w:hAnsi="Times New Roman"/>
          <w:sz w:val="24"/>
          <w:szCs w:val="24"/>
          <w:rtl w:val="0"/>
        </w:rPr>
        <w:t xml:space="preserve">nadaljevanju</w:t>
      </w:r>
      <w:r w:rsidDel="00000000" w:rsidR="00000000" w:rsidRPr="00000000">
        <w:rPr>
          <w:rFonts w:ascii="Times New Roman" w:cs="Times New Roman" w:eastAsia="Times New Roman" w:hAnsi="Times New Roman"/>
          <w:sz w:val="24"/>
          <w:szCs w:val="24"/>
          <w:rtl w:val="0"/>
        </w:rPr>
        <w:t xml:space="preserve"> smo na podlagi poročila v Delovni skupini </w:t>
      </w:r>
      <w:r w:rsidDel="00000000" w:rsidR="00000000" w:rsidRPr="00000000">
        <w:rPr>
          <w:rFonts w:ascii="Times New Roman" w:cs="Times New Roman" w:eastAsia="Times New Roman" w:hAnsi="Times New Roman"/>
          <w:b w:val="1"/>
          <w:sz w:val="24"/>
          <w:szCs w:val="24"/>
          <w:rtl w:val="0"/>
        </w:rPr>
        <w:t xml:space="preserve">Plan B</w:t>
      </w:r>
      <w:r w:rsidDel="00000000" w:rsidR="00000000" w:rsidRPr="00000000">
        <w:rPr>
          <w:rFonts w:ascii="Times New Roman" w:cs="Times New Roman" w:eastAsia="Times New Roman" w:hAnsi="Times New Roman"/>
          <w:sz w:val="24"/>
          <w:szCs w:val="24"/>
          <w:rtl w:val="0"/>
        </w:rPr>
        <w:t xml:space="preserve"> za trajnostno energetiko pripravili strnjen seznam desetih točk, ki bi ga različni akterji morali upoštevati v svojih prizadevanjih za pospešeno širjenje uporabe fotovoltaičnih in vetrnih elektrarn. Čeprav se zavedamo, da bo treba posledice tega pospešenega širjenja dodatno raziskati tudi z vidika dobaviteljev (</w:t>
      </w:r>
      <w:r w:rsidDel="00000000" w:rsidR="00000000" w:rsidRPr="00000000">
        <w:rPr>
          <w:rFonts w:ascii="Times New Roman" w:cs="Times New Roman" w:eastAsia="Times New Roman" w:hAnsi="Times New Roman"/>
          <w:i w:val="1"/>
          <w:sz w:val="24"/>
          <w:szCs w:val="24"/>
          <w:rtl w:val="0"/>
        </w:rPr>
        <w:t xml:space="preserve">navzgor v verigi,</w:t>
      </w:r>
      <w:r w:rsidDel="00000000" w:rsidR="00000000" w:rsidRPr="00000000">
        <w:rPr>
          <w:rFonts w:ascii="Times New Roman" w:cs="Times New Roman" w:eastAsia="Times New Roman" w:hAnsi="Times New Roman"/>
          <w:sz w:val="24"/>
          <w:szCs w:val="24"/>
          <w:rtl w:val="0"/>
        </w:rPr>
        <w:t xml:space="preserve"> npr. v proizvodnji fotovoltaičnih modulov), se ta seznam osredotoča na učinke v smeri proti uporabniku (</w:t>
      </w:r>
      <w:r w:rsidDel="00000000" w:rsidR="00000000" w:rsidRPr="00000000">
        <w:rPr>
          <w:rFonts w:ascii="Times New Roman" w:cs="Times New Roman" w:eastAsia="Times New Roman" w:hAnsi="Times New Roman"/>
          <w:i w:val="1"/>
          <w:sz w:val="24"/>
          <w:szCs w:val="24"/>
          <w:rtl w:val="0"/>
        </w:rPr>
        <w:t xml:space="preserve">navzdol v verigi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napotki na deset področjih želimo spodbuditi dialog med oblikovalci politik, izvajalci projektov in tistimi, ki si prizadevajo za ohranjanje narave. Priporočila se osredotočajo predvsem na podporo demokratičnim energetskim skupnostim, upoštevanju in vključevanju lokalnih prebivalcev in civilne družbe v širšem smislu, delitev koristi in pridobivanje podpore javnosti, lokalna delovna mesta in spremembe </w:t>
      </w:r>
      <w:r w:rsidDel="00000000" w:rsidR="00000000" w:rsidRPr="00000000">
        <w:rPr>
          <w:rFonts w:ascii="Times New Roman" w:cs="Times New Roman" w:eastAsia="Times New Roman" w:hAnsi="Times New Roman"/>
          <w:sz w:val="24"/>
          <w:szCs w:val="24"/>
          <w:rtl w:val="0"/>
        </w:rPr>
        <w:t xml:space="preserve">pravnih</w:t>
      </w:r>
      <w:r w:rsidDel="00000000" w:rsidR="00000000" w:rsidRPr="00000000">
        <w:rPr>
          <w:rFonts w:ascii="Times New Roman" w:cs="Times New Roman" w:eastAsia="Times New Roman" w:hAnsi="Times New Roman"/>
          <w:sz w:val="24"/>
          <w:szCs w:val="24"/>
          <w:rtl w:val="0"/>
        </w:rPr>
        <w:t xml:space="preserve"> postopkov, uporabo geografskega informacijskega sistema (GIS), upoštevanje vpliva “prednostnih območij” obnovljivih virov energije, razvoj na degradiranih (brownfield) območjih proti tistemu na nezazidanih (greenfield) območjih, biotsko raznovrsnost, digitalizacijo postopka izdajanja dovoljenj ter na ponovno preučitev najmanjših razdalj za vetrne projekte.</w:t>
      </w:r>
    </w:p>
    <w:p w:rsidR="00000000" w:rsidDel="00000000" w:rsidP="00000000" w:rsidRDefault="00000000" w:rsidRPr="00000000" w14:paraId="00000006">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2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Deset ključnih korakov:</w:t>
      </w:r>
    </w:p>
    <w:p w:rsidR="00000000" w:rsidDel="00000000" w:rsidP="00000000" w:rsidRDefault="00000000" w:rsidRPr="00000000" w14:paraId="00000008">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2"/>
        </w:numPr>
        <w:spacing w:after="360" w:before="120" w:lineRule="auto"/>
        <w:ind w:left="720" w:hanging="360"/>
        <w:rPr/>
      </w:pPr>
      <w:r w:rsidDel="00000000" w:rsidR="00000000" w:rsidRPr="00000000">
        <w:rPr>
          <w:rFonts w:ascii="Times New Roman" w:cs="Times New Roman" w:eastAsia="Times New Roman" w:hAnsi="Times New Roman"/>
          <w:b w:val="1"/>
          <w:sz w:val="24"/>
          <w:szCs w:val="24"/>
          <w:rtl w:val="0"/>
        </w:rPr>
        <w:t xml:space="preserve">Podpora </w:t>
      </w:r>
      <w:r w:rsidDel="00000000" w:rsidR="00000000" w:rsidRPr="00000000">
        <w:rPr>
          <w:rFonts w:ascii="Times New Roman" w:cs="Times New Roman" w:eastAsia="Times New Roman" w:hAnsi="Times New Roman"/>
          <w:b w:val="1"/>
          <w:i w:val="1"/>
          <w:sz w:val="24"/>
          <w:szCs w:val="24"/>
          <w:rtl w:val="0"/>
        </w:rPr>
        <w:t xml:space="preserve">demokratičnim</w:t>
      </w:r>
      <w:r w:rsidDel="00000000" w:rsidR="00000000" w:rsidRPr="00000000">
        <w:rPr>
          <w:rFonts w:ascii="Times New Roman" w:cs="Times New Roman" w:eastAsia="Times New Roman" w:hAnsi="Times New Roman"/>
          <w:b w:val="1"/>
          <w:sz w:val="24"/>
          <w:szCs w:val="24"/>
          <w:rtl w:val="0"/>
        </w:rPr>
        <w:t xml:space="preserve"> energetskim skupnostim</w:t>
      </w:r>
    </w:p>
    <w:p w:rsidR="00000000" w:rsidDel="00000000" w:rsidP="00000000" w:rsidRDefault="00000000" w:rsidRPr="00000000" w14:paraId="0000000A">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Energetski prehod mora biti »</w:t>
      </w:r>
      <w:r w:rsidDel="00000000" w:rsidR="00000000" w:rsidRPr="00000000">
        <w:rPr>
          <w:rFonts w:ascii="Times New Roman" w:cs="Times New Roman" w:eastAsia="Times New Roman" w:hAnsi="Times New Roman"/>
          <w:b w:val="1"/>
          <w:sz w:val="24"/>
          <w:szCs w:val="24"/>
          <w:rtl w:val="0"/>
        </w:rPr>
        <w:t xml:space="preserve">pravičen in vključujoč</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kar pomeni, da je treba v postopek vključiti širok krog državljanov. To zagovarja tudi Evropska komisija v </w:t>
      </w:r>
      <w:r w:rsidDel="00000000" w:rsidR="00000000" w:rsidRPr="00000000">
        <w:rPr>
          <w:rFonts w:ascii="Times New Roman" w:cs="Times New Roman" w:eastAsia="Times New Roman" w:hAnsi="Times New Roman"/>
          <w:i w:val="1"/>
          <w:sz w:val="24"/>
          <w:szCs w:val="24"/>
          <w:rtl w:val="0"/>
        </w:rPr>
        <w:t xml:space="preserve">Priporočilu komisije o pospešitvi postopkov izdaje dovoljenj za projekte na področju energije iz obnovljivih virov</w:t>
      </w:r>
      <w:r w:rsidDel="00000000" w:rsidR="00000000" w:rsidRPr="00000000">
        <w:rPr>
          <w:rFonts w:ascii="Times New Roman" w:cs="Times New Roman" w:eastAsia="Times New Roman" w:hAnsi="Times New Roman"/>
          <w:sz w:val="24"/>
          <w:szCs w:val="24"/>
          <w:rtl w:val="0"/>
        </w:rPr>
        <w:t xml:space="preserve">, v katerem je zapisano, da bi »Države članice [...] morale izvajati poenostavljene postopke </w:t>
      </w:r>
    </w:p>
    <w:p w:rsidR="00000000" w:rsidDel="00000000" w:rsidP="00000000" w:rsidRDefault="00000000" w:rsidRPr="00000000" w14:paraId="0000000B">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izdaje dovoljenj za skupnosti na področju energije iz obnovljivih virov«</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Enostavno povedano, energetske skupnosti so za energetski prehod ključnega pomena in to je treba </w:t>
      </w:r>
    </w:p>
    <w:p w:rsidR="00000000" w:rsidDel="00000000" w:rsidP="00000000" w:rsidRDefault="00000000" w:rsidRPr="00000000" w14:paraId="0000000C">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podpreti s </w:t>
      </w:r>
      <w:r w:rsidDel="00000000" w:rsidR="00000000" w:rsidRPr="00000000">
        <w:rPr>
          <w:rFonts w:ascii="Times New Roman" w:cs="Times New Roman" w:eastAsia="Times New Roman" w:hAnsi="Times New Roman"/>
          <w:sz w:val="24"/>
          <w:szCs w:val="24"/>
          <w:rtl w:val="0"/>
        </w:rPr>
        <w:t xml:space="preserve">konkretnimi</w:t>
      </w:r>
      <w:r w:rsidDel="00000000" w:rsidR="00000000" w:rsidRPr="00000000">
        <w:rPr>
          <w:rFonts w:ascii="Times New Roman" w:cs="Times New Roman" w:eastAsia="Times New Roman" w:hAnsi="Times New Roman"/>
          <w:sz w:val="24"/>
          <w:szCs w:val="24"/>
          <w:rtl w:val="0"/>
        </w:rPr>
        <w:t xml:space="preserve"> ukrepi. To se v nekaterih primerih že dogaja – Litva je tako, na primer, polovico svojih omrežnih zmogljivosti namenila za energetske skupnosti in t. i. </w:t>
      </w:r>
      <w:r w:rsidDel="00000000" w:rsidR="00000000" w:rsidRPr="00000000">
        <w:rPr>
          <w:rFonts w:ascii="Times New Roman" w:cs="Times New Roman" w:eastAsia="Times New Roman" w:hAnsi="Times New Roman"/>
          <w:i w:val="1"/>
          <w:sz w:val="24"/>
          <w:szCs w:val="24"/>
          <w:rtl w:val="0"/>
        </w:rPr>
        <w:t xml:space="preserve">prosumerje</w:t>
      </w:r>
      <w:r w:rsidDel="00000000" w:rsidR="00000000" w:rsidRPr="00000000">
        <w:rPr>
          <w:rFonts w:ascii="Times New Roman" w:cs="Times New Roman" w:eastAsia="Times New Roman" w:hAnsi="Times New Roman"/>
          <w:sz w:val="24"/>
          <w:szCs w:val="24"/>
          <w:rtl w:val="0"/>
        </w:rPr>
        <w:t xml:space="preserve">, aktivne uporabnike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Obstaja pa še ogromno potenciala. Problematično je predvsem počasno uvajanje spodbud in regulativnih okvirov, nejasnosti ter pomanjkanje politične volje, kar zavira  razmah energetskih skupnosti</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Odsotnost jasne opredelitve v politiki EU že sama po sebi predstavlja oviro – RED II</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tako omenja Skupnosti na področju obnovljive energije (</w:t>
      </w:r>
      <w:r w:rsidDel="00000000" w:rsidR="00000000" w:rsidRPr="00000000">
        <w:rPr>
          <w:rFonts w:ascii="Times New Roman" w:cs="Times New Roman" w:eastAsia="Times New Roman" w:hAnsi="Times New Roman"/>
          <w:i w:val="1"/>
          <w:sz w:val="24"/>
          <w:szCs w:val="24"/>
          <w:rtl w:val="0"/>
        </w:rPr>
        <w:t xml:space="preserve">Renewable Energy Communities</w:t>
      </w:r>
      <w:r w:rsidDel="00000000" w:rsidR="00000000" w:rsidRPr="00000000">
        <w:rPr>
          <w:rFonts w:ascii="Times New Roman" w:cs="Times New Roman" w:eastAsia="Times New Roman" w:hAnsi="Times New Roman"/>
          <w:sz w:val="24"/>
          <w:szCs w:val="24"/>
          <w:rtl w:val="0"/>
        </w:rPr>
        <w:t xml:space="preserve"> oz. REC), Direktiva o električni energiji</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pa Energetske skupnosti državljanov (</w:t>
      </w:r>
      <w:r w:rsidDel="00000000" w:rsidR="00000000" w:rsidRPr="00000000">
        <w:rPr>
          <w:rFonts w:ascii="Times New Roman" w:cs="Times New Roman" w:eastAsia="Times New Roman" w:hAnsi="Times New Roman"/>
          <w:i w:val="1"/>
          <w:sz w:val="24"/>
          <w:szCs w:val="24"/>
          <w:rtl w:val="0"/>
        </w:rPr>
        <w:t xml:space="preserve">Citizens Energy Communities</w:t>
      </w:r>
      <w:r w:rsidDel="00000000" w:rsidR="00000000" w:rsidRPr="00000000">
        <w:rPr>
          <w:rFonts w:ascii="Times New Roman" w:cs="Times New Roman" w:eastAsia="Times New Roman" w:hAnsi="Times New Roman"/>
          <w:sz w:val="24"/>
          <w:szCs w:val="24"/>
          <w:rtl w:val="0"/>
        </w:rPr>
        <w:t xml:space="preserve"> oz. CEC). Razdrobljeno, </w:t>
      </w:r>
      <w:r w:rsidDel="00000000" w:rsidR="00000000" w:rsidRPr="00000000">
        <w:rPr>
          <w:rFonts w:ascii="Times New Roman" w:cs="Times New Roman" w:eastAsia="Times New Roman" w:hAnsi="Times New Roman"/>
          <w:sz w:val="24"/>
          <w:szCs w:val="24"/>
          <w:rtl w:val="0"/>
        </w:rPr>
        <w:t xml:space="preserve">nepozorno</w:t>
      </w:r>
      <w:r w:rsidDel="00000000" w:rsidR="00000000" w:rsidRPr="00000000">
        <w:rPr>
          <w:rFonts w:ascii="Times New Roman" w:cs="Times New Roman" w:eastAsia="Times New Roman" w:hAnsi="Times New Roman"/>
          <w:sz w:val="24"/>
          <w:szCs w:val="24"/>
          <w:rtl w:val="0"/>
        </w:rPr>
        <w:t xml:space="preserve"> ali namerno izkrivljeno izvajanje s strani držav članic še dodatno omejuje njihovo zmožnost prispevati k energetskemu prehodu</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V številnih primerih je to privedlo do tega, da v energetskih zadrugah sodelujejo zasebna podjetja – pogosto z obsežnimi energetskimi portfelji – ki si prizadevajo za dobiček in tako izkrivljajo demokratične postopke odločanja, ki so del zadružnega etosa.</w:t>
      </w:r>
    </w:p>
    <w:p w:rsidR="00000000" w:rsidDel="00000000" w:rsidP="00000000" w:rsidRDefault="00000000" w:rsidRPr="00000000" w14:paraId="0000000F">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Nujno je torej treba pospešiti širjenje skupnosti na področju obnovljivih virov energije, ki dejansko podpirajo resnične skupnostne vrednote, k čemur lahko bistveno </w:t>
      </w:r>
      <w:r w:rsidDel="00000000" w:rsidR="00000000" w:rsidRPr="00000000">
        <w:rPr>
          <w:rFonts w:ascii="Times New Roman" w:cs="Times New Roman" w:eastAsia="Times New Roman" w:hAnsi="Times New Roman"/>
          <w:sz w:val="24"/>
          <w:szCs w:val="24"/>
          <w:rtl w:val="0"/>
        </w:rPr>
        <w:t xml:space="preserve">prispevata</w:t>
      </w:r>
      <w:r w:rsidDel="00000000" w:rsidR="00000000" w:rsidRPr="00000000">
        <w:rPr>
          <w:rFonts w:ascii="Times New Roman" w:cs="Times New Roman" w:eastAsia="Times New Roman" w:hAnsi="Times New Roman"/>
          <w:sz w:val="24"/>
          <w:szCs w:val="24"/>
          <w:rtl w:val="0"/>
        </w:rPr>
        <w:t xml:space="preserve"> sledeči priporočili:</w:t>
      </w:r>
    </w:p>
    <w:p w:rsidR="00000000" w:rsidDel="00000000" w:rsidP="00000000" w:rsidRDefault="00000000" w:rsidRPr="00000000" w14:paraId="00000010">
      <w:pPr>
        <w:spacing w:after="240" w:befor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1.1. Države članice morajo medsebojno uskladiti predpise ter načela, ki jih zastopajo energetske zadruge ter zagotoviti, da bodo energetske skupnosti dejansko temeljile na demokratičnem sprejemanju odločitev, demokratičnem nadzoru s strani članov in bodo </w:t>
      </w:r>
      <w:r w:rsidDel="00000000" w:rsidR="00000000" w:rsidRPr="00000000">
        <w:rPr>
          <w:rFonts w:ascii="Times New Roman" w:cs="Times New Roman" w:eastAsia="Times New Roman" w:hAnsi="Times New Roman"/>
          <w:i w:val="1"/>
          <w:sz w:val="24"/>
          <w:szCs w:val="24"/>
          <w:rtl w:val="0"/>
        </w:rPr>
        <w:t xml:space="preserve">usmerjene</w:t>
      </w:r>
      <w:r w:rsidDel="00000000" w:rsidR="00000000" w:rsidRPr="00000000">
        <w:rPr>
          <w:rFonts w:ascii="Times New Roman" w:cs="Times New Roman" w:eastAsia="Times New Roman" w:hAnsi="Times New Roman"/>
          <w:i w:val="1"/>
          <w:sz w:val="24"/>
          <w:szCs w:val="24"/>
          <w:rtl w:val="0"/>
        </w:rPr>
        <w:t xml:space="preserve"> v delitev koristi znotraj skupnosti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after="240" w:before="24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1.2. Določiti je treba kvote za dostop energetskih skupnosti do omrežja, pri čemer morajo biti cilji </w:t>
      </w:r>
      <w:r w:rsidDel="00000000" w:rsidR="00000000" w:rsidRPr="00000000">
        <w:rPr>
          <w:rFonts w:ascii="Times New Roman" w:cs="Times New Roman" w:eastAsia="Times New Roman" w:hAnsi="Times New Roman"/>
          <w:i w:val="1"/>
          <w:sz w:val="24"/>
          <w:szCs w:val="24"/>
          <w:rtl w:val="0"/>
        </w:rPr>
        <w:t xml:space="preserve">prilagojeni</w:t>
      </w:r>
      <w:r w:rsidDel="00000000" w:rsidR="00000000" w:rsidRPr="00000000">
        <w:rPr>
          <w:rFonts w:ascii="Times New Roman" w:cs="Times New Roman" w:eastAsia="Times New Roman" w:hAnsi="Times New Roman"/>
          <w:i w:val="1"/>
          <w:sz w:val="24"/>
          <w:szCs w:val="24"/>
          <w:rtl w:val="0"/>
        </w:rPr>
        <w:t xml:space="preserve"> specifičnim </w:t>
      </w:r>
      <w:r w:rsidDel="00000000" w:rsidR="00000000" w:rsidRPr="00000000">
        <w:rPr>
          <w:rFonts w:ascii="Times New Roman" w:cs="Times New Roman" w:eastAsia="Times New Roman" w:hAnsi="Times New Roman"/>
          <w:i w:val="1"/>
          <w:sz w:val="24"/>
          <w:szCs w:val="24"/>
          <w:rtl w:val="0"/>
        </w:rPr>
        <w:t xml:space="preserve">kontekstom</w:t>
      </w:r>
      <w:r w:rsidDel="00000000" w:rsidR="00000000" w:rsidRPr="00000000">
        <w:rPr>
          <w:rFonts w:ascii="Times New Roman" w:cs="Times New Roman" w:eastAsia="Times New Roman" w:hAnsi="Times New Roman"/>
          <w:i w:val="1"/>
          <w:sz w:val="24"/>
          <w:szCs w:val="24"/>
          <w:rtl w:val="0"/>
        </w:rPr>
        <w:t xml:space="preserve">. Tj. določen del zmogljivosti omrežja nameniti energetskim skupnostim (glej primer zgoraj).</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after="360" w:lineRule="auto"/>
        <w:ind w:left="720" w:hanging="360"/>
        <w:rPr/>
      </w:pPr>
      <w:r w:rsidDel="00000000" w:rsidR="00000000" w:rsidRPr="00000000">
        <w:rPr>
          <w:rFonts w:ascii="Times New Roman" w:cs="Times New Roman" w:eastAsia="Times New Roman" w:hAnsi="Times New Roman"/>
          <w:b w:val="1"/>
          <w:sz w:val="24"/>
          <w:szCs w:val="24"/>
          <w:rtl w:val="0"/>
        </w:rPr>
        <w:t xml:space="preserve">Upoštevanje in vključevanje lokalnih prebivalcev in civilne družbe v širšem smislu</w:t>
      </w:r>
    </w:p>
    <w:p w:rsidR="00000000" w:rsidDel="00000000" w:rsidP="00000000" w:rsidRDefault="00000000" w:rsidRPr="00000000" w14:paraId="00000017">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 razmah obnovljivih virov energije je ključno pomenljivo sodelovanje z lokalnimi skupnostmi. Pri pospešenem uvajanju naprav za proizvodnjo energije iz obnovljivih virov obstaja tveganje, da bi podeljevanje odobritev potekalo preveč »od zgoraj navzdol«, brez vključevanja lokalnih skupnosti. Posvetovanje z lokalnim prebivalstvom in civilno družbo </w:t>
      </w:r>
    </w:p>
    <w:p w:rsidR="00000000" w:rsidDel="00000000" w:rsidP="00000000" w:rsidRDefault="00000000" w:rsidRPr="00000000" w14:paraId="00000018">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veliko pred začetkom projekta velja za ključ do uspeha. Nekatere države, kot je Slovaška, razvijajo smernice za t. i. »zgodnje posredovanje« in časovnice, ki </w:t>
      </w:r>
      <w:r w:rsidDel="00000000" w:rsidR="00000000" w:rsidRPr="00000000">
        <w:rPr>
          <w:rFonts w:ascii="Times New Roman" w:cs="Times New Roman" w:eastAsia="Times New Roman" w:hAnsi="Times New Roman"/>
          <w:sz w:val="24"/>
          <w:szCs w:val="24"/>
          <w:rtl w:val="0"/>
        </w:rPr>
        <w:t xml:space="preserve">strukturirajo</w:t>
      </w:r>
      <w:r w:rsidDel="00000000" w:rsidR="00000000" w:rsidRPr="00000000">
        <w:rPr>
          <w:rFonts w:ascii="Times New Roman" w:cs="Times New Roman" w:eastAsia="Times New Roman" w:hAnsi="Times New Roman"/>
          <w:sz w:val="24"/>
          <w:szCs w:val="24"/>
          <w:rtl w:val="0"/>
        </w:rPr>
        <w:t xml:space="preserve"> sodelovanje, kar v dialog med razvijalci projektov in lokalnim prebivalstvom vnaša element predvidljivosti. Za pospeševanje procesov so zato bistvena celovita in vključujoča posvetovanja, ki bodo v ospredje postavila pereča vprašanja.</w:t>
      </w:r>
    </w:p>
    <w:p w:rsidR="00000000" w:rsidDel="00000000" w:rsidP="00000000" w:rsidRDefault="00000000" w:rsidRPr="00000000" w14:paraId="0000001A">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Takšno sodelovanje je mogoče zagotoviti preko upoštevanja sledečih korakov, ob tem pa je ključno, da odločevalci na državni ravni zagotovijo ustrezne smernice in jih po potrebi vključijo v relevantne predpise:</w:t>
      </w:r>
    </w:p>
    <w:p w:rsidR="00000000" w:rsidDel="00000000" w:rsidP="00000000" w:rsidRDefault="00000000" w:rsidRPr="00000000" w14:paraId="0000001B">
      <w:pPr>
        <w:spacing w:before="12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2.1. Že pred začetkom projekta je potrebno pripraviti kodeks ravnanja, ki vključuje smernice za posvetovanje z lokalnimi prebivalci in širšo civilno družbo v zvezi s projektom. To vključuje dostop do informacij že veliko prej, preden </w:t>
      </w:r>
      <w:r w:rsidDel="00000000" w:rsidR="00000000" w:rsidRPr="00000000">
        <w:rPr>
          <w:rFonts w:ascii="Times New Roman" w:cs="Times New Roman" w:eastAsia="Times New Roman" w:hAnsi="Times New Roman"/>
          <w:i w:val="1"/>
          <w:sz w:val="24"/>
          <w:szCs w:val="24"/>
          <w:rtl w:val="0"/>
        </w:rPr>
        <w:t xml:space="preserve">pripravljalci</w:t>
      </w:r>
      <w:r w:rsidDel="00000000" w:rsidR="00000000" w:rsidRPr="00000000">
        <w:rPr>
          <w:rFonts w:ascii="Times New Roman" w:cs="Times New Roman" w:eastAsia="Times New Roman" w:hAnsi="Times New Roman"/>
          <w:i w:val="1"/>
          <w:sz w:val="24"/>
          <w:szCs w:val="24"/>
          <w:rtl w:val="0"/>
        </w:rPr>
        <w:t xml:space="preserve"> projekta sprejmejo dokončne in nepreklicne odločitve, pripravo časovnice krogov zbiranja povratnih informacij, stik z občinskimi sveti in zbiranje pisnih stališč, ki jih lahko lokalne skupnosti in druge interesne skupine predložijo z namenom vplivanja na pripravljalce projektov.</w:t>
      </w:r>
    </w:p>
    <w:p w:rsidR="00000000" w:rsidDel="00000000" w:rsidP="00000000" w:rsidRDefault="00000000" w:rsidRPr="00000000" w14:paraId="0000001C">
      <w:pPr>
        <w:spacing w:before="12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2.2. Priprava regionalnih dokumentov s smernicami glede lokalnih posebnosti, ki jih morajo razvijalci upoštevati pri vključevanju lokalnih prebivalcev.</w:t>
      </w:r>
    </w:p>
    <w:p w:rsidR="00000000" w:rsidDel="00000000" w:rsidP="00000000" w:rsidRDefault="00000000" w:rsidRPr="00000000" w14:paraId="0000001D">
      <w:pPr>
        <w:spacing w:after="240" w:before="24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2.3. Za izhodišče bi moral pripravljalec projekta pred začetkom postopka pridobivanja dovoljenj organizirati zbor občanov, </w:t>
      </w:r>
      <w:r w:rsidDel="00000000" w:rsidR="00000000" w:rsidRPr="00000000">
        <w:rPr>
          <w:rFonts w:ascii="Times New Roman" w:cs="Times New Roman" w:eastAsia="Times New Roman" w:hAnsi="Times New Roman"/>
          <w:i w:val="1"/>
          <w:sz w:val="24"/>
          <w:szCs w:val="24"/>
          <w:rtl w:val="0"/>
        </w:rPr>
        <w:t xml:space="preserve">ki bi</w:t>
      </w:r>
      <w:r w:rsidDel="00000000" w:rsidR="00000000" w:rsidRPr="00000000">
        <w:rPr>
          <w:rFonts w:ascii="Times New Roman" w:cs="Times New Roman" w:eastAsia="Times New Roman" w:hAnsi="Times New Roman"/>
          <w:i w:val="1"/>
          <w:sz w:val="24"/>
          <w:szCs w:val="24"/>
          <w:rtl w:val="0"/>
        </w:rPr>
        <w:t xml:space="preserve"> ga </w:t>
      </w:r>
      <w:r w:rsidDel="00000000" w:rsidR="00000000" w:rsidRPr="00000000">
        <w:rPr>
          <w:rFonts w:ascii="Times New Roman" w:cs="Times New Roman" w:eastAsia="Times New Roman" w:hAnsi="Times New Roman"/>
          <w:i w:val="1"/>
          <w:sz w:val="24"/>
          <w:szCs w:val="24"/>
          <w:rtl w:val="0"/>
        </w:rPr>
        <w:t xml:space="preserve">morala</w:t>
      </w:r>
      <w:r w:rsidDel="00000000" w:rsidR="00000000" w:rsidRPr="00000000">
        <w:rPr>
          <w:rFonts w:ascii="Times New Roman" w:cs="Times New Roman" w:eastAsia="Times New Roman" w:hAnsi="Times New Roman"/>
          <w:i w:val="1"/>
          <w:sz w:val="24"/>
          <w:szCs w:val="24"/>
          <w:rtl w:val="0"/>
        </w:rPr>
        <w:t xml:space="preserve"> voditi </w:t>
      </w:r>
      <w:r w:rsidDel="00000000" w:rsidR="00000000" w:rsidRPr="00000000">
        <w:rPr>
          <w:rFonts w:ascii="Times New Roman" w:cs="Times New Roman" w:eastAsia="Times New Roman" w:hAnsi="Times New Roman"/>
          <w:i w:val="1"/>
          <w:sz w:val="24"/>
          <w:szCs w:val="24"/>
          <w:rtl w:val="0"/>
        </w:rPr>
        <w:t xml:space="preserve">nevtralna</w:t>
      </w:r>
      <w:r w:rsidDel="00000000" w:rsidR="00000000" w:rsidRPr="00000000">
        <w:rPr>
          <w:rFonts w:ascii="Times New Roman" w:cs="Times New Roman" w:eastAsia="Times New Roman" w:hAnsi="Times New Roman"/>
          <w:i w:val="1"/>
          <w:sz w:val="24"/>
          <w:szCs w:val="24"/>
          <w:rtl w:val="0"/>
        </w:rPr>
        <w:t xml:space="preserve"> tretja oseba (kot moderator), ki lahko olajša komunikacijo med lokalnimi prebivalci in pripravljalci ter pomaga obravnavati in razrešiti ključne točke ter probleme.</w:t>
      </w:r>
    </w:p>
    <w:p w:rsidR="00000000" w:rsidDel="00000000" w:rsidP="00000000" w:rsidRDefault="00000000" w:rsidRPr="00000000" w14:paraId="0000001E">
      <w:pPr>
        <w:spacing w:after="240" w:before="24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2.4. Lokalni odločevalci bi morali pravočasno (torej bistveno pred začetkom izvajanja projekta) odpreti razpravo o prerazporejanju dohodkov in socialno-ekonomskih ugodnosti, ki izhajajo iz predvidenih projektov. V tem kontekstu je ključno dosledno zbiranje vseh relevantnih podatkov in njihova transparentnost, saj s tem zagotovimo odgovornost lokalnih </w:t>
      </w:r>
      <w:r w:rsidDel="00000000" w:rsidR="00000000" w:rsidRPr="00000000">
        <w:rPr>
          <w:rFonts w:ascii="Times New Roman" w:cs="Times New Roman" w:eastAsia="Times New Roman" w:hAnsi="Times New Roman"/>
          <w:i w:val="1"/>
          <w:sz w:val="24"/>
          <w:szCs w:val="24"/>
          <w:rtl w:val="0"/>
        </w:rPr>
        <w:t xml:space="preserve">odločevalcev</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F">
      <w:pPr>
        <w:numPr>
          <w:ilvl w:val="0"/>
          <w:numId w:val="5"/>
        </w:numPr>
        <w:spacing w:after="360" w:lineRule="auto"/>
        <w:ind w:left="720" w:hanging="360"/>
        <w:rPr/>
      </w:pPr>
      <w:r w:rsidDel="00000000" w:rsidR="00000000" w:rsidRPr="00000000">
        <w:rPr>
          <w:rFonts w:ascii="Times New Roman" w:cs="Times New Roman" w:eastAsia="Times New Roman" w:hAnsi="Times New Roman"/>
          <w:b w:val="1"/>
          <w:sz w:val="24"/>
          <w:szCs w:val="24"/>
          <w:rtl w:val="0"/>
        </w:rPr>
        <w:t xml:space="preserve">Delitev koristi in pridobivanje podpore javnosti</w:t>
      </w:r>
    </w:p>
    <w:p w:rsidR="00000000" w:rsidDel="00000000" w:rsidP="00000000" w:rsidRDefault="00000000" w:rsidRPr="00000000" w14:paraId="00000020">
      <w:pPr>
        <w:spacing w:after="12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 uspeh energetskega prehoda sta ključnega pomena tako sodelovanje na lokalni ravni kot širša javna podpora obnovljivim virom energije. Številni primeri kažejo, da slabo vodeni politični ukrepi (npr. ukinitev feed-in tarife za OVE in </w:t>
      </w:r>
      <w:r w:rsidDel="00000000" w:rsidR="00000000" w:rsidRPr="00000000">
        <w:rPr>
          <w:rFonts w:ascii="Times New Roman" w:cs="Times New Roman" w:eastAsia="Times New Roman" w:hAnsi="Times New Roman"/>
          <w:sz w:val="24"/>
          <w:szCs w:val="24"/>
          <w:rtl w:val="0"/>
        </w:rPr>
        <w:t xml:space="preserve">neprilagajanje</w:t>
      </w:r>
      <w:r w:rsidDel="00000000" w:rsidR="00000000" w:rsidRPr="00000000">
        <w:rPr>
          <w:rFonts w:ascii="Times New Roman" w:cs="Times New Roman" w:eastAsia="Times New Roman" w:hAnsi="Times New Roman"/>
          <w:sz w:val="24"/>
          <w:szCs w:val="24"/>
          <w:rtl w:val="0"/>
        </w:rPr>
        <w:t xml:space="preserve"> tarife stanju na terenu, ki je po eni strani ustavila razvoj OVE, po drugi pa po nepotrebnem povečala stroške spodbujanja OVE) otežujejo uvajanje obnovljivih virov energije. Za premagovanje teh težav in pospešitev procesa je nujna širša družbena podpora. To je mogoče pridobiti z uvedbo celovitega podpornega regulativnega okvira in izboljšanjem transparentnosti glede priprave projektov, pomembno pa k družbeni sprejemljivosti prispeva tudi delitev koristi oz. ugodnosti projektov </w:t>
      </w:r>
      <w:r w:rsidDel="00000000" w:rsidR="00000000" w:rsidRPr="00000000">
        <w:rPr>
          <w:rFonts w:ascii="Times New Roman" w:cs="Times New Roman" w:eastAsia="Times New Roman" w:hAnsi="Times New Roman"/>
          <w:sz w:val="24"/>
          <w:szCs w:val="24"/>
          <w:rtl w:val="0"/>
        </w:rPr>
        <w:t xml:space="preserve">uvajanja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OVE</w:t>
      </w:r>
      <w:r w:rsidDel="00000000" w:rsidR="00000000" w:rsidRPr="00000000">
        <w:rPr>
          <w:rFonts w:ascii="Times New Roman" w:cs="Times New Roman" w:eastAsia="Times New Roman" w:hAnsi="Times New Roman"/>
          <w:sz w:val="24"/>
          <w:szCs w:val="24"/>
          <w:rtl w:val="0"/>
        </w:rPr>
        <w:t xml:space="preserve">. Številni primeri kažejo na to, da je eden izmed najboljših pristopov za razreševanje sporov, ki </w:t>
      </w:r>
      <w:r w:rsidDel="00000000" w:rsidR="00000000" w:rsidRPr="00000000">
        <w:rPr>
          <w:rFonts w:ascii="Times New Roman" w:cs="Times New Roman" w:eastAsia="Times New Roman" w:hAnsi="Times New Roman"/>
          <w:sz w:val="24"/>
          <w:szCs w:val="24"/>
          <w:rtl w:val="0"/>
        </w:rPr>
        <w:t xml:space="preserve">zavirajo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uvanjanje</w:t>
      </w:r>
      <w:r w:rsidDel="00000000" w:rsidR="00000000" w:rsidRPr="00000000">
        <w:rPr>
          <w:rFonts w:ascii="Times New Roman" w:cs="Times New Roman" w:eastAsia="Times New Roman" w:hAnsi="Times New Roman"/>
          <w:sz w:val="24"/>
          <w:szCs w:val="24"/>
          <w:rtl w:val="0"/>
        </w:rPr>
        <w:t xml:space="preserve"> OVE, sodelovalni način priprave delitve koristi projektov v skupnosti.</w:t>
      </w:r>
    </w:p>
    <w:p w:rsidR="00000000" w:rsidDel="00000000" w:rsidP="00000000" w:rsidRDefault="00000000" w:rsidRPr="00000000" w14:paraId="00000021">
      <w:pPr>
        <w:spacing w:after="12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Zato je ključno da:</w:t>
      </w:r>
    </w:p>
    <w:p w:rsidR="00000000" w:rsidDel="00000000" w:rsidP="00000000" w:rsidRDefault="00000000" w:rsidRPr="00000000" w14:paraId="00000022">
      <w:pPr>
        <w:spacing w:after="12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3.1. Odločevalci na državni ravni oblikujejo ambiciozne ukrepe za zagotovitev lokalnega lastništva (npr. kvote lokalnega lastništva) in vzpostavijo finančne mehanizme, ki lokalnim prebivalcem in skupnostim </w:t>
      </w:r>
      <w:r w:rsidDel="00000000" w:rsidR="00000000" w:rsidRPr="00000000">
        <w:rPr>
          <w:rFonts w:ascii="Times New Roman" w:cs="Times New Roman" w:eastAsia="Times New Roman" w:hAnsi="Times New Roman"/>
          <w:i w:val="1"/>
          <w:sz w:val="24"/>
          <w:szCs w:val="24"/>
          <w:rtl w:val="0"/>
        </w:rPr>
        <w:t xml:space="preserve">omogočijo</w:t>
      </w:r>
      <w:r w:rsidDel="00000000" w:rsidR="00000000" w:rsidRPr="00000000">
        <w:rPr>
          <w:rFonts w:ascii="Times New Roman" w:cs="Times New Roman" w:eastAsia="Times New Roman" w:hAnsi="Times New Roman"/>
          <w:i w:val="1"/>
          <w:sz w:val="24"/>
          <w:szCs w:val="24"/>
          <w:rtl w:val="0"/>
        </w:rPr>
        <w:t xml:space="preserve">, da postanejo deležniki projektov.</w:t>
      </w:r>
    </w:p>
    <w:p w:rsidR="00000000" w:rsidDel="00000000" w:rsidP="00000000" w:rsidRDefault="00000000" w:rsidRPr="00000000" w14:paraId="00000023">
      <w:pPr>
        <w:spacing w:after="12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4">
      <w:pPr>
        <w:numPr>
          <w:ilvl w:val="0"/>
          <w:numId w:val="4"/>
        </w:numPr>
        <w:spacing w:after="360" w:lineRule="auto"/>
        <w:ind w:left="720" w:hanging="360"/>
        <w:rPr/>
      </w:pPr>
      <w:r w:rsidDel="00000000" w:rsidR="00000000" w:rsidRPr="00000000">
        <w:rPr>
          <w:rFonts w:ascii="Times New Roman" w:cs="Times New Roman" w:eastAsia="Times New Roman" w:hAnsi="Times New Roman"/>
          <w:b w:val="1"/>
          <w:sz w:val="24"/>
          <w:szCs w:val="24"/>
          <w:rtl w:val="0"/>
        </w:rPr>
        <w:t xml:space="preserve">Lokalna delovna mesta in spremembe </w:t>
      </w:r>
      <w:r w:rsidDel="00000000" w:rsidR="00000000" w:rsidRPr="00000000">
        <w:rPr>
          <w:rFonts w:ascii="Times New Roman" w:cs="Times New Roman" w:eastAsia="Times New Roman" w:hAnsi="Times New Roman"/>
          <w:b w:val="1"/>
          <w:sz w:val="24"/>
          <w:szCs w:val="24"/>
          <w:rtl w:val="0"/>
        </w:rPr>
        <w:t xml:space="preserve">pravnih</w:t>
      </w:r>
      <w:r w:rsidDel="00000000" w:rsidR="00000000" w:rsidRPr="00000000">
        <w:rPr>
          <w:rFonts w:ascii="Times New Roman" w:cs="Times New Roman" w:eastAsia="Times New Roman" w:hAnsi="Times New Roman"/>
          <w:b w:val="1"/>
          <w:sz w:val="24"/>
          <w:szCs w:val="24"/>
          <w:rtl w:val="0"/>
        </w:rPr>
        <w:t xml:space="preserve"> postopkov</w:t>
      </w:r>
    </w:p>
    <w:p w:rsidR="00000000" w:rsidDel="00000000" w:rsidP="00000000" w:rsidRDefault="00000000" w:rsidRPr="00000000" w14:paraId="00000025">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Pospešitev uvajanja obnovljivih virov energije ni mogoča brez zadostnega števila ustrezno usposobljenih strokovnjakov, ki bodo nadzorovali upravljanje projektov. Na to oviro so opozorile številne študije, vendar je ključnega pomena poskrbeti, da se povečanje zmogljivosti in poskusi poenostavljanja postopkov ne pojavijo na škodo lokalnih kadrovskih potreb. Centralizacija je morda privlačna, ne omogoča pa vključevanja lokalnih kompleksnosti, o katerih lahko razmislijo in se nanje odzovejo tisti, ki so »na terenu«. Nekateri so sprejeli ukrepe, kot je slovaški načrt za ustanovitev regionalnih centrov za trajnostno energijo, a je to prej izjema kot pravilo. Sodelujoči v teh prizadevanjih morajo med seboj tudi komunicirati, kar omogoča dinamično izmenjavo znanja in sodelovanje. Poleg tega se je morda izboljšalo obveščanje skupnosti s strani razvijalcev, vendar se lahko kljub temu pojavijo pravna težave. </w:t>
      </w:r>
    </w:p>
    <w:p w:rsidR="00000000" w:rsidDel="00000000" w:rsidP="00000000" w:rsidRDefault="00000000" w:rsidRPr="00000000" w14:paraId="00000026">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Bistvenega pomena je, da vlade namenijo posebne zmogljivosti za obravnavanje pravnih vprašanj povezanih z energijo iz obnovljivih virov:</w:t>
      </w:r>
    </w:p>
    <w:p w:rsidR="00000000" w:rsidDel="00000000" w:rsidP="00000000" w:rsidRDefault="00000000" w:rsidRPr="00000000" w14:paraId="00000027">
      <w:pPr>
        <w:spacing w:before="12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 Odločevalci na državni ravni morajo oceniti zmogljivosti lokalnih oblasti, pri čemer morajo upoštevati specifični kontekst in potrebe lokalnih oblasti ter z njimi tesno sodelovati in se z izvajalci projektov posvetovati o tem, kako se to nanaša na dejanske potrebe. To lahko služi kot podlaga za strategijo zaposlovanja, njeno izvajanje pa je treba vsako leto preveriti.</w:t>
      </w:r>
    </w:p>
    <w:p w:rsidR="00000000" w:rsidDel="00000000" w:rsidP="00000000" w:rsidRDefault="00000000" w:rsidRPr="00000000" w14:paraId="00000028">
      <w:pPr>
        <w:spacing w:after="240" w:before="24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4.2. Vzpostaviti (ali povečati) je treba zmogljivosti, namenjene reševanju pravnih vprašanj v zvezi z obnovljivimi viri energije.</w:t>
      </w:r>
    </w:p>
    <w:p w:rsidR="00000000" w:rsidDel="00000000" w:rsidP="00000000" w:rsidRDefault="00000000" w:rsidRPr="00000000" w14:paraId="00000029">
      <w:pPr>
        <w:spacing w:after="240" w:before="240" w:lineRule="auto"/>
        <w:ind w:left="7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numPr>
          <w:ilvl w:val="0"/>
          <w:numId w:val="9"/>
        </w:numPr>
        <w:spacing w:after="360" w:lineRule="auto"/>
        <w:ind w:left="720" w:hanging="360"/>
        <w:rPr/>
      </w:pPr>
      <w:r w:rsidDel="00000000" w:rsidR="00000000" w:rsidRPr="00000000">
        <w:rPr>
          <w:rFonts w:ascii="Times New Roman" w:cs="Times New Roman" w:eastAsia="Times New Roman" w:hAnsi="Times New Roman"/>
          <w:b w:val="1"/>
          <w:sz w:val="24"/>
          <w:szCs w:val="24"/>
          <w:rtl w:val="0"/>
        </w:rPr>
        <w:t xml:space="preserve">Uporaba geografskega informacijskega sistema (GIS)</w:t>
      </w:r>
    </w:p>
    <w:p w:rsidR="00000000" w:rsidDel="00000000" w:rsidP="00000000" w:rsidRDefault="00000000" w:rsidRPr="00000000" w14:paraId="0000002B">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Države članice pri pripravi načrtov za energijo iz obnovljivih virov (npr. nacionalnih energetskih in podnebnih načrtov) še vedno ne uporabljajo geografskega informacijskega sistema (GIS) in pripravljalcem projektov ne zagotavljajo podpore pri iskanju ustreznih lokacij za umeščanje projektov na področju energije iz obnovljivih virov. Projekti, kot sta Geografski laboratorij za energijo in industrijo Skupnega raziskovalnega središča (</w:t>
      </w:r>
      <w:r w:rsidDel="00000000" w:rsidR="00000000" w:rsidRPr="00000000">
        <w:rPr>
          <w:rFonts w:ascii="Times New Roman" w:cs="Times New Roman" w:eastAsia="Times New Roman" w:hAnsi="Times New Roman"/>
          <w:i w:val="1"/>
          <w:sz w:val="24"/>
          <w:szCs w:val="24"/>
          <w:rtl w:val="0"/>
        </w:rPr>
        <w:t xml:space="preserve">Joint Research Centre</w:t>
      </w:r>
      <w:r w:rsidDel="00000000" w:rsidR="00000000" w:rsidRPr="00000000">
        <w:rPr>
          <w:rFonts w:ascii="Times New Roman" w:cs="Times New Roman" w:eastAsia="Times New Roman" w:hAnsi="Times New Roman"/>
          <w:sz w:val="24"/>
          <w:szCs w:val="24"/>
          <w:rtl w:val="0"/>
        </w:rPr>
        <w:t xml:space="preserve"> oz. JRC)</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in IBAT</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predstavljajo korak v smeri zagotavljanja podatkov za pripravljalce, a problem je tudi, da relevantni odločevalci niso nujno usposobljeni za uporabo takšnih orodij.</w:t>
      </w:r>
    </w:p>
    <w:p w:rsidR="00000000" w:rsidDel="00000000" w:rsidP="00000000" w:rsidRDefault="00000000" w:rsidRPr="00000000" w14:paraId="0000002C">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Zato je potrebno:</w:t>
      </w:r>
    </w:p>
    <w:p w:rsidR="00000000" w:rsidDel="00000000" w:rsidP="00000000" w:rsidRDefault="00000000" w:rsidRPr="00000000" w14:paraId="0000002D">
      <w:pPr>
        <w:spacing w:before="12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5.1. Zagotoviti kadrovske zmožnosti z znanji in veščinami, </w:t>
      </w:r>
      <w:r w:rsidDel="00000000" w:rsidR="00000000" w:rsidRPr="00000000">
        <w:rPr>
          <w:rFonts w:ascii="Times New Roman" w:cs="Times New Roman" w:eastAsia="Times New Roman" w:hAnsi="Times New Roman"/>
          <w:i w:val="1"/>
          <w:sz w:val="24"/>
          <w:szCs w:val="24"/>
          <w:rtl w:val="0"/>
        </w:rPr>
        <w:t xml:space="preserve">potrebnimi</w:t>
      </w:r>
      <w:r w:rsidDel="00000000" w:rsidR="00000000" w:rsidRPr="00000000">
        <w:rPr>
          <w:rFonts w:ascii="Times New Roman" w:cs="Times New Roman" w:eastAsia="Times New Roman" w:hAnsi="Times New Roman"/>
          <w:i w:val="1"/>
          <w:sz w:val="24"/>
          <w:szCs w:val="24"/>
          <w:rtl w:val="0"/>
        </w:rPr>
        <w:t xml:space="preserve"> za uporabo GIS.</w:t>
      </w:r>
    </w:p>
    <w:p w:rsidR="00000000" w:rsidDel="00000000" w:rsidP="00000000" w:rsidRDefault="00000000" w:rsidRPr="00000000" w14:paraId="0000002E">
      <w:pPr>
        <w:spacing w:before="12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5.2. Vključiti GIS v postopke načrtovanja in zagotovitev javnega dostopa do spletnih orodij GIS, ki se sproti posodabljajo in omogočajo spremljanje predlogov večjih projektov.</w:t>
      </w:r>
    </w:p>
    <w:p w:rsidR="00000000" w:rsidDel="00000000" w:rsidP="00000000" w:rsidRDefault="00000000" w:rsidRPr="00000000" w14:paraId="0000002F">
      <w:pPr>
        <w:spacing w:after="240" w:before="240"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0">
      <w:pPr>
        <w:numPr>
          <w:ilvl w:val="0"/>
          <w:numId w:val="6"/>
        </w:numPr>
        <w:spacing w:after="360" w:lineRule="auto"/>
        <w:ind w:left="720" w:hanging="360"/>
        <w:rPr/>
      </w:pPr>
      <w:r w:rsidDel="00000000" w:rsidR="00000000" w:rsidRPr="00000000">
        <w:rPr>
          <w:rFonts w:ascii="Times New Roman" w:cs="Times New Roman" w:eastAsia="Times New Roman" w:hAnsi="Times New Roman"/>
          <w:b w:val="1"/>
          <w:sz w:val="24"/>
          <w:szCs w:val="24"/>
          <w:rtl w:val="0"/>
        </w:rPr>
        <w:t xml:space="preserve">Upoštevanje vpliva »prednostnih območij« obnovljivih virov energije</w:t>
      </w:r>
    </w:p>
    <w:p w:rsidR="00000000" w:rsidDel="00000000" w:rsidP="00000000" w:rsidRDefault="00000000" w:rsidRPr="00000000" w14:paraId="00000031">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določitvijo »prednostnih območij«</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pripravljalcem priskrbimo informacije o tem, kje bodo lahko najverjetneje izvedli uspešne projekte, in sicer z zagotovitvijo »strateških okoljskih presoj« (</w:t>
      </w:r>
      <w:r w:rsidDel="00000000" w:rsidR="00000000" w:rsidRPr="00000000">
        <w:rPr>
          <w:rFonts w:ascii="Times New Roman" w:cs="Times New Roman" w:eastAsia="Times New Roman" w:hAnsi="Times New Roman"/>
          <w:i w:val="1"/>
          <w:sz w:val="24"/>
          <w:szCs w:val="24"/>
          <w:rtl w:val="0"/>
        </w:rPr>
        <w:t xml:space="preserve">Strategic Environmental Assessments</w:t>
      </w:r>
      <w:r w:rsidDel="00000000" w:rsidR="00000000" w:rsidRPr="00000000">
        <w:rPr>
          <w:rFonts w:ascii="Times New Roman" w:cs="Times New Roman" w:eastAsia="Times New Roman" w:hAnsi="Times New Roman"/>
          <w:sz w:val="24"/>
          <w:szCs w:val="24"/>
          <w:rtl w:val="0"/>
        </w:rPr>
        <w:t xml:space="preserve">) in »ustreznih presoj« (</w:t>
      </w:r>
      <w:r w:rsidDel="00000000" w:rsidR="00000000" w:rsidRPr="00000000">
        <w:rPr>
          <w:rFonts w:ascii="Times New Roman" w:cs="Times New Roman" w:eastAsia="Times New Roman" w:hAnsi="Times New Roman"/>
          <w:i w:val="1"/>
          <w:sz w:val="24"/>
          <w:szCs w:val="24"/>
          <w:rtl w:val="0"/>
        </w:rPr>
        <w:t xml:space="preserve">Appropriate Assessment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Ker pa te presoje zagotavljajo omejene podrobnosti o manjših območjih, morajo pripravljalci projektov v številnih primerih vseeno izvesti presojo vplivov na okolje (</w:t>
      </w:r>
      <w:r w:rsidDel="00000000" w:rsidR="00000000" w:rsidRPr="00000000">
        <w:rPr>
          <w:rFonts w:ascii="Times New Roman" w:cs="Times New Roman" w:eastAsia="Times New Roman" w:hAnsi="Times New Roman"/>
          <w:i w:val="1"/>
          <w:sz w:val="24"/>
          <w:szCs w:val="24"/>
          <w:rtl w:val="0"/>
        </w:rPr>
        <w:t xml:space="preserve">Environmental Impact Assessment</w:t>
      </w:r>
      <w:r w:rsidDel="00000000" w:rsidR="00000000" w:rsidRPr="00000000">
        <w:rPr>
          <w:rFonts w:ascii="Times New Roman" w:cs="Times New Roman" w:eastAsia="Times New Roman" w:hAnsi="Times New Roman"/>
          <w:sz w:val="24"/>
          <w:szCs w:val="24"/>
          <w:rtl w:val="0"/>
        </w:rPr>
        <w:t xml:space="preserve">). S tem se skupno administrativno breme ne zmanjša, temveč poveča.</w:t>
      </w:r>
    </w:p>
    <w:p w:rsidR="00000000" w:rsidDel="00000000" w:rsidP="00000000" w:rsidRDefault="00000000" w:rsidRPr="00000000" w14:paraId="00000032">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Prav tako vplivi prednostnih območij niso enoznačni. Določena območja so lahko primerna z okoljskega vidika, a manj privlačna z vidika obsevanosti, dostopa do omrežja in potreb po energiji v okolici. Poleg tega lahko določitev prednostnih območij ovira projekte na drugih območjih, kjer so morda prisotne primerne lokacije. Še bolj problematično je to, da lahko zaradi izpostavljanja prednostnih območij </w:t>
      </w:r>
      <w:r w:rsidDel="00000000" w:rsidR="00000000" w:rsidRPr="00000000">
        <w:rPr>
          <w:rFonts w:ascii="Times New Roman" w:cs="Times New Roman" w:eastAsia="Times New Roman" w:hAnsi="Times New Roman"/>
          <w:sz w:val="24"/>
          <w:szCs w:val="24"/>
          <w:rtl w:val="0"/>
        </w:rPr>
        <w:t xml:space="preserve">pripravljalci</w:t>
      </w:r>
      <w:r w:rsidDel="00000000" w:rsidR="00000000" w:rsidRPr="00000000">
        <w:rPr>
          <w:rFonts w:ascii="Times New Roman" w:cs="Times New Roman" w:eastAsia="Times New Roman" w:hAnsi="Times New Roman"/>
          <w:sz w:val="24"/>
          <w:szCs w:val="24"/>
          <w:rtl w:val="0"/>
        </w:rPr>
        <w:t xml:space="preserve"> domnevajo, da druga območja sploh ne pridejo v poštev (tako jih lahko </w:t>
      </w:r>
      <w:r w:rsidDel="00000000" w:rsidR="00000000" w:rsidRPr="00000000">
        <w:rPr>
          <w:rFonts w:ascii="Times New Roman" w:cs="Times New Roman" w:eastAsia="Times New Roman" w:hAnsi="Times New Roman"/>
          <w:sz w:val="24"/>
          <w:szCs w:val="24"/>
          <w:rtl w:val="0"/>
        </w:rPr>
        <w:t xml:space="preserve">dojemajo</w:t>
      </w:r>
      <w:r w:rsidDel="00000000" w:rsidR="00000000" w:rsidRPr="00000000">
        <w:rPr>
          <w:rFonts w:ascii="Times New Roman" w:cs="Times New Roman" w:eastAsia="Times New Roman" w:hAnsi="Times New Roman"/>
          <w:sz w:val="24"/>
          <w:szCs w:val="24"/>
          <w:rtl w:val="0"/>
        </w:rPr>
        <w:t xml:space="preserve"> tudi organi oblasti), kar na koncu upočasni hitrost širjenja obnovljivih virov</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before="12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6.1. Merila in spremenljivke, ki se bodo uporabljale za načrtovanje in določanje prednostnih območij, je treba opredeliti v sodelovanju z deležniki, vključno z nevladnimi organizacijami.</w:t>
      </w:r>
    </w:p>
    <w:p w:rsidR="00000000" w:rsidDel="00000000" w:rsidP="00000000" w:rsidRDefault="00000000" w:rsidRPr="00000000" w14:paraId="00000034">
      <w:pPr>
        <w:spacing w:before="12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6.2. »Prednostna območja in »območja prepovedi« je treba, na podlagi </w:t>
      </w:r>
      <w:r w:rsidDel="00000000" w:rsidR="00000000" w:rsidRPr="00000000">
        <w:rPr>
          <w:rFonts w:ascii="Times New Roman" w:cs="Times New Roman" w:eastAsia="Times New Roman" w:hAnsi="Times New Roman"/>
          <w:i w:val="1"/>
          <w:sz w:val="24"/>
          <w:szCs w:val="24"/>
          <w:rtl w:val="0"/>
        </w:rPr>
        <w:t xml:space="preserve">posvetovanj</w:t>
      </w:r>
      <w:r w:rsidDel="00000000" w:rsidR="00000000" w:rsidRPr="00000000">
        <w:rPr>
          <w:rFonts w:ascii="Times New Roman" w:cs="Times New Roman" w:eastAsia="Times New Roman" w:hAnsi="Times New Roman"/>
          <w:i w:val="1"/>
          <w:sz w:val="24"/>
          <w:szCs w:val="24"/>
          <w:rtl w:val="0"/>
        </w:rPr>
        <w:t xml:space="preserve">, opredeliti in </w:t>
      </w:r>
      <w:r w:rsidDel="00000000" w:rsidR="00000000" w:rsidRPr="00000000">
        <w:rPr>
          <w:rFonts w:ascii="Times New Roman" w:cs="Times New Roman" w:eastAsia="Times New Roman" w:hAnsi="Times New Roman"/>
          <w:i w:val="1"/>
          <w:sz w:val="24"/>
          <w:szCs w:val="24"/>
          <w:rtl w:val="0"/>
        </w:rPr>
        <w:t xml:space="preserve">redno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posodabljati</w:t>
      </w:r>
      <w:r w:rsidDel="00000000" w:rsidR="00000000" w:rsidRPr="00000000">
        <w:rPr>
          <w:rFonts w:ascii="Times New Roman" w:cs="Times New Roman" w:eastAsia="Times New Roman" w:hAnsi="Times New Roman"/>
          <w:i w:val="1"/>
          <w:sz w:val="24"/>
          <w:szCs w:val="24"/>
          <w:rtl w:val="0"/>
        </w:rPr>
        <w:t xml:space="preserve">. Organi oblasti bi morali to dojemati kot ponavljajoč se, dinamičen proces, med katerim se morajo takšne določitve in tudi njihov vpliv na številne spremenljivke (npr. biotsko </w:t>
      </w:r>
      <w:r w:rsidDel="00000000" w:rsidR="00000000" w:rsidRPr="00000000">
        <w:rPr>
          <w:rFonts w:ascii="Times New Roman" w:cs="Times New Roman" w:eastAsia="Times New Roman" w:hAnsi="Times New Roman"/>
          <w:i w:val="1"/>
          <w:sz w:val="24"/>
          <w:szCs w:val="24"/>
          <w:rtl w:val="0"/>
        </w:rPr>
        <w:t xml:space="preserve">raznovrstnost</w:t>
      </w:r>
      <w:r w:rsidDel="00000000" w:rsidR="00000000" w:rsidRPr="00000000">
        <w:rPr>
          <w:rFonts w:ascii="Times New Roman" w:cs="Times New Roman" w:eastAsia="Times New Roman" w:hAnsi="Times New Roman"/>
          <w:i w:val="1"/>
          <w:sz w:val="24"/>
          <w:szCs w:val="24"/>
          <w:rtl w:val="0"/>
        </w:rPr>
        <w:t xml:space="preserve">) redno ponovno presojati v sodelovanju z lokalnimi prebivalci, </w:t>
      </w:r>
      <w:r w:rsidDel="00000000" w:rsidR="00000000" w:rsidRPr="00000000">
        <w:rPr>
          <w:rFonts w:ascii="Times New Roman" w:cs="Times New Roman" w:eastAsia="Times New Roman" w:hAnsi="Times New Roman"/>
          <w:i w:val="1"/>
          <w:sz w:val="24"/>
          <w:szCs w:val="24"/>
          <w:rtl w:val="0"/>
        </w:rPr>
        <w:t xml:space="preserve">nevladnimi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organizacijami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pripravljavci </w:t>
      </w:r>
      <w:r w:rsidDel="00000000" w:rsidR="00000000" w:rsidRPr="00000000">
        <w:rPr>
          <w:rFonts w:ascii="Times New Roman" w:cs="Times New Roman" w:eastAsia="Times New Roman" w:hAnsi="Times New Roman"/>
          <w:i w:val="1"/>
          <w:sz w:val="24"/>
          <w:szCs w:val="24"/>
          <w:rtl w:val="0"/>
        </w:rPr>
        <w:t xml:space="preserve">projektov ter drugimi deležniki.</w:t>
      </w:r>
    </w:p>
    <w:p w:rsidR="00000000" w:rsidDel="00000000" w:rsidP="00000000" w:rsidRDefault="00000000" w:rsidRPr="00000000" w14:paraId="00000035">
      <w:pPr>
        <w:spacing w:after="240" w:before="24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6.3. Organi oblasti bi morali preseči binarno kategorijo prednosti/prepovedi in si prizadevati za razširitev namenske rabe zemljišč, pri čemer bi morali določiti, kako »prednostna« so nekatera območja v primerjavi z drugimi. </w:t>
      </w:r>
    </w:p>
    <w:p w:rsidR="00000000" w:rsidDel="00000000" w:rsidP="00000000" w:rsidRDefault="00000000" w:rsidRPr="00000000" w14:paraId="00000036">
      <w:pPr>
        <w:spacing w:after="240" w:befor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numPr>
          <w:ilvl w:val="0"/>
          <w:numId w:val="3"/>
        </w:numPr>
        <w:spacing w:after="360" w:lineRule="auto"/>
        <w:ind w:left="720" w:hanging="360"/>
        <w:rPr/>
      </w:pPr>
      <w:r w:rsidDel="00000000" w:rsidR="00000000" w:rsidRPr="00000000">
        <w:rPr>
          <w:rFonts w:ascii="Times New Roman" w:cs="Times New Roman" w:eastAsia="Times New Roman" w:hAnsi="Times New Roman"/>
          <w:b w:val="1"/>
          <w:sz w:val="24"/>
          <w:szCs w:val="24"/>
          <w:rtl w:val="0"/>
        </w:rPr>
        <w:t xml:space="preserve">Razvoj na degradiranih (</w:t>
      </w:r>
      <w:r w:rsidDel="00000000" w:rsidR="00000000" w:rsidRPr="00000000">
        <w:rPr>
          <w:rFonts w:ascii="Times New Roman" w:cs="Times New Roman" w:eastAsia="Times New Roman" w:hAnsi="Times New Roman"/>
          <w:b w:val="1"/>
          <w:i w:val="1"/>
          <w:sz w:val="24"/>
          <w:szCs w:val="24"/>
          <w:rtl w:val="0"/>
        </w:rPr>
        <w:t xml:space="preserve">brownfield</w:t>
      </w:r>
      <w:r w:rsidDel="00000000" w:rsidR="00000000" w:rsidRPr="00000000">
        <w:rPr>
          <w:rFonts w:ascii="Times New Roman" w:cs="Times New Roman" w:eastAsia="Times New Roman" w:hAnsi="Times New Roman"/>
          <w:b w:val="1"/>
          <w:sz w:val="24"/>
          <w:szCs w:val="24"/>
          <w:rtl w:val="0"/>
        </w:rPr>
        <w:t xml:space="preserve">) območjih proti tistemu na nezazidanih (</w:t>
      </w:r>
      <w:r w:rsidDel="00000000" w:rsidR="00000000" w:rsidRPr="00000000">
        <w:rPr>
          <w:rFonts w:ascii="Times New Roman" w:cs="Times New Roman" w:eastAsia="Times New Roman" w:hAnsi="Times New Roman"/>
          <w:b w:val="1"/>
          <w:i w:val="1"/>
          <w:sz w:val="24"/>
          <w:szCs w:val="24"/>
          <w:rtl w:val="0"/>
        </w:rPr>
        <w:t xml:space="preserve">greenfield</w:t>
      </w:r>
      <w:r w:rsidDel="00000000" w:rsidR="00000000" w:rsidRPr="00000000">
        <w:rPr>
          <w:rFonts w:ascii="Times New Roman" w:cs="Times New Roman" w:eastAsia="Times New Roman" w:hAnsi="Times New Roman"/>
          <w:b w:val="1"/>
          <w:sz w:val="24"/>
          <w:szCs w:val="24"/>
          <w:rtl w:val="0"/>
        </w:rPr>
        <w:t xml:space="preserve">) območjih</w:t>
      </w:r>
      <w:r w:rsidDel="00000000" w:rsidR="00000000" w:rsidRPr="00000000">
        <w:rPr>
          <w:rFonts w:ascii="Times New Roman" w:cs="Times New Roman" w:eastAsia="Times New Roman" w:hAnsi="Times New Roman"/>
          <w:b w:val="1"/>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38">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»prednostnimi območji« so tesno povezana prizadevanja za podporo naložbam na degradiranih območjih, ki ponujajo veliko prostora za pospešitev uvajanja obnovljivih virov energije. Za razvoj OVE na degradiranih površinah </w:t>
      </w:r>
      <w:r w:rsidDel="00000000" w:rsidR="00000000" w:rsidRPr="00000000">
        <w:rPr>
          <w:rFonts w:ascii="Times New Roman" w:cs="Times New Roman" w:eastAsia="Times New Roman" w:hAnsi="Times New Roman"/>
          <w:sz w:val="24"/>
          <w:szCs w:val="24"/>
          <w:rtl w:val="0"/>
        </w:rPr>
        <w:t xml:space="preserve">namesto</w:t>
      </w:r>
      <w:r w:rsidDel="00000000" w:rsidR="00000000" w:rsidRPr="00000000">
        <w:rPr>
          <w:rFonts w:ascii="Times New Roman" w:cs="Times New Roman" w:eastAsia="Times New Roman" w:hAnsi="Times New Roman"/>
          <w:sz w:val="24"/>
          <w:szCs w:val="24"/>
          <w:rtl w:val="0"/>
        </w:rPr>
        <w:t xml:space="preserve"> na </w:t>
      </w:r>
      <w:r w:rsidDel="00000000" w:rsidR="00000000" w:rsidRPr="00000000">
        <w:rPr>
          <w:rFonts w:ascii="Times New Roman" w:cs="Times New Roman" w:eastAsia="Times New Roman" w:hAnsi="Times New Roman"/>
          <w:sz w:val="24"/>
          <w:szCs w:val="24"/>
          <w:rtl w:val="0"/>
        </w:rPr>
        <w:t xml:space="preserve">nezazidanih</w:t>
      </w:r>
      <w:r w:rsidDel="00000000" w:rsidR="00000000" w:rsidRPr="00000000">
        <w:rPr>
          <w:rFonts w:ascii="Times New Roman" w:cs="Times New Roman" w:eastAsia="Times New Roman" w:hAnsi="Times New Roman"/>
          <w:sz w:val="24"/>
          <w:szCs w:val="24"/>
          <w:rtl w:val="0"/>
        </w:rPr>
        <w:t xml:space="preserve"> so zato potrebne spodbude. Te spodbude so lahko tudi finančne narave.</w:t>
      </w:r>
    </w:p>
    <w:p w:rsidR="00000000" w:rsidDel="00000000" w:rsidP="00000000" w:rsidRDefault="00000000" w:rsidRPr="00000000" w14:paraId="00000039">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Zato je potrebno:</w:t>
      </w:r>
    </w:p>
    <w:p w:rsidR="00000000" w:rsidDel="00000000" w:rsidP="00000000" w:rsidRDefault="00000000" w:rsidRPr="00000000" w14:paraId="0000003A">
      <w:pPr>
        <w:spacing w:before="12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7.1. Izvesti oceno pravnih, praktičnih in finančnih ovir za projekte na degradiranih območjih in pripraviti ukrepe za njihovo odpravo.</w:t>
      </w:r>
    </w:p>
    <w:p w:rsidR="00000000" w:rsidDel="00000000" w:rsidP="00000000" w:rsidRDefault="00000000" w:rsidRPr="00000000" w14:paraId="0000003B">
      <w:pPr>
        <w:spacing w:after="240" w:before="24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7.2. Spremljati razmerje med obsegom razvoja na degradiranih območjih in razvoja na </w:t>
      </w:r>
      <w:r w:rsidDel="00000000" w:rsidR="00000000" w:rsidRPr="00000000">
        <w:rPr>
          <w:rFonts w:ascii="Times New Roman" w:cs="Times New Roman" w:eastAsia="Times New Roman" w:hAnsi="Times New Roman"/>
          <w:i w:val="1"/>
          <w:sz w:val="24"/>
          <w:szCs w:val="24"/>
          <w:rtl w:val="0"/>
        </w:rPr>
        <w:t xml:space="preserve">nezazidanih</w:t>
      </w:r>
      <w:r w:rsidDel="00000000" w:rsidR="00000000" w:rsidRPr="00000000">
        <w:rPr>
          <w:rFonts w:ascii="Times New Roman" w:cs="Times New Roman" w:eastAsia="Times New Roman" w:hAnsi="Times New Roman"/>
          <w:i w:val="1"/>
          <w:sz w:val="24"/>
          <w:szCs w:val="24"/>
          <w:rtl w:val="0"/>
        </w:rPr>
        <w:t xml:space="preserve"> območjih. Razmerje bi moralo biti v prid degradiranim območjem in dolgoročni vladni cilji bi morali to odražati.</w:t>
      </w:r>
    </w:p>
    <w:p w:rsidR="00000000" w:rsidDel="00000000" w:rsidP="00000000" w:rsidRDefault="00000000" w:rsidRPr="00000000" w14:paraId="0000003C">
      <w:pPr>
        <w:spacing w:after="240" w:befor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D">
      <w:pPr>
        <w:numPr>
          <w:ilvl w:val="0"/>
          <w:numId w:val="7"/>
        </w:numPr>
        <w:spacing w:after="360" w:lineRule="auto"/>
        <w:ind w:left="720" w:hanging="360"/>
        <w:rPr/>
      </w:pPr>
      <w:r w:rsidDel="00000000" w:rsidR="00000000" w:rsidRPr="00000000">
        <w:rPr>
          <w:rFonts w:ascii="Times New Roman" w:cs="Times New Roman" w:eastAsia="Times New Roman" w:hAnsi="Times New Roman"/>
          <w:b w:val="1"/>
          <w:sz w:val="24"/>
          <w:szCs w:val="24"/>
          <w:rtl w:val="0"/>
        </w:rPr>
        <w:t xml:space="preserve">Biotska </w:t>
      </w:r>
      <w:r w:rsidDel="00000000" w:rsidR="00000000" w:rsidRPr="00000000">
        <w:rPr>
          <w:rFonts w:ascii="Times New Roman" w:cs="Times New Roman" w:eastAsia="Times New Roman" w:hAnsi="Times New Roman"/>
          <w:b w:val="1"/>
          <w:sz w:val="24"/>
          <w:szCs w:val="24"/>
          <w:rtl w:val="0"/>
        </w:rPr>
        <w:t xml:space="preserve">raznovrstnost</w:t>
      </w:r>
      <w:r w:rsidDel="00000000" w:rsidR="00000000" w:rsidRPr="00000000">
        <w:rPr>
          <w:rFonts w:ascii="Times New Roman" w:cs="Times New Roman" w:eastAsia="Times New Roman" w:hAnsi="Times New Roman"/>
          <w:b w:val="1"/>
          <w:sz w:val="24"/>
          <w:szCs w:val="24"/>
          <w:rtl w:val="0"/>
        </w:rPr>
        <w:t xml:space="preserve">: izkoriščanje sinergij in osredotočanje na širšo sliko</w:t>
      </w:r>
    </w:p>
    <w:p w:rsidR="00000000" w:rsidDel="00000000" w:rsidP="00000000" w:rsidRDefault="00000000" w:rsidRPr="00000000" w14:paraId="0000003E">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Politika in ukrepi EU morajo odražati ambicije za izboljšanje biotske raznovrstnosti. S Strategijo EU za biotsko raznovrstnost do leta 2030: Vračanje narave v naša življenja</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ki so </w:t>
      </w:r>
      <w:r w:rsidDel="00000000" w:rsidR="00000000" w:rsidRPr="00000000">
        <w:rPr>
          <w:rFonts w:ascii="Times New Roman" w:cs="Times New Roman" w:eastAsia="Times New Roman" w:hAnsi="Times New Roman"/>
          <w:sz w:val="24"/>
          <w:szCs w:val="24"/>
          <w:rtl w:val="0"/>
        </w:rPr>
        <w:t xml:space="preserve">ji</w:t>
      </w:r>
      <w:r w:rsidDel="00000000" w:rsidR="00000000" w:rsidRPr="00000000">
        <w:rPr>
          <w:rFonts w:ascii="Times New Roman" w:cs="Times New Roman" w:eastAsia="Times New Roman" w:hAnsi="Times New Roman"/>
          <w:sz w:val="24"/>
          <w:szCs w:val="24"/>
          <w:rtl w:val="0"/>
        </w:rPr>
        <w:t xml:space="preserve"> sledili nadaljnji ukrepi, kot je poročanje podjetij o trajnostnosti</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bscript"/>
          <w:rtl w:val="0"/>
        </w:rPr>
        <w:t xml:space="preserve"> </w:t>
      </w:r>
      <w:r w:rsidDel="00000000" w:rsidR="00000000" w:rsidRPr="00000000">
        <w:rPr>
          <w:rFonts w:ascii="Times New Roman" w:cs="Times New Roman" w:eastAsia="Times New Roman" w:hAnsi="Times New Roman"/>
          <w:sz w:val="24"/>
          <w:szCs w:val="24"/>
          <w:rtl w:val="0"/>
        </w:rPr>
        <w:t xml:space="preserve">so ukrepe v podporo biotski raznovrstnosti vključili v nabor političnih orodij EU, vendar jih je treba še izvajati in izpopolniti. Ukrepi v podporo povečanju biotske raznovrstnosti bi morali postati pravilo, vendar bi lahko vlade za dosego tega cilja ponudile nadomestila za takšne projekte – ki torej povečujejo biotsko raznovrstnost ali izpolnjujejo posebne zahteve, povezane z biotsko raznovrstnostjo – kar se v nekaterih primerih že dogaja (npr. v Nemčiji). Poleg tega je treba bolje izkoristiti sinergije med prej ločenimi sektorji, kot sta energetika in kmetijstvo</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Potrebno je tudi sistemsko razmišljanje o tem, kako s projekti in </w:t>
      </w:r>
      <w:r w:rsidDel="00000000" w:rsidR="00000000" w:rsidRPr="00000000">
        <w:rPr>
          <w:rFonts w:ascii="Times New Roman" w:cs="Times New Roman" w:eastAsia="Times New Roman" w:hAnsi="Times New Roman"/>
          <w:sz w:val="24"/>
          <w:szCs w:val="24"/>
          <w:rtl w:val="0"/>
        </w:rPr>
        <w:t xml:space="preserve">politikami</w:t>
      </w:r>
      <w:r w:rsidDel="00000000" w:rsidR="00000000" w:rsidRPr="00000000">
        <w:rPr>
          <w:rFonts w:ascii="Times New Roman" w:cs="Times New Roman" w:eastAsia="Times New Roman" w:hAnsi="Times New Roman"/>
          <w:sz w:val="24"/>
          <w:szCs w:val="24"/>
          <w:rtl w:val="0"/>
        </w:rPr>
        <w:t xml:space="preserve"> povečati biotsko </w:t>
      </w:r>
      <w:r w:rsidDel="00000000" w:rsidR="00000000" w:rsidRPr="00000000">
        <w:rPr>
          <w:rFonts w:ascii="Times New Roman" w:cs="Times New Roman" w:eastAsia="Times New Roman" w:hAnsi="Times New Roman"/>
          <w:sz w:val="24"/>
          <w:szCs w:val="24"/>
          <w:rtl w:val="0"/>
        </w:rPr>
        <w:t xml:space="preserve">raznovrstnost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spacing w:before="12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8.1. Razviti je treba </w:t>
      </w:r>
      <w:r w:rsidDel="00000000" w:rsidR="00000000" w:rsidRPr="00000000">
        <w:rPr>
          <w:rFonts w:ascii="Times New Roman" w:cs="Times New Roman" w:eastAsia="Times New Roman" w:hAnsi="Times New Roman"/>
          <w:i w:val="1"/>
          <w:sz w:val="24"/>
          <w:szCs w:val="24"/>
          <w:rtl w:val="0"/>
        </w:rPr>
        <w:t xml:space="preserve">jasno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strategijo</w:t>
      </w:r>
      <w:r w:rsidDel="00000000" w:rsidR="00000000" w:rsidRPr="00000000">
        <w:rPr>
          <w:rFonts w:ascii="Times New Roman" w:cs="Times New Roman" w:eastAsia="Times New Roman" w:hAnsi="Times New Roman"/>
          <w:i w:val="1"/>
          <w:sz w:val="24"/>
          <w:szCs w:val="24"/>
          <w:rtl w:val="0"/>
        </w:rPr>
        <w:t xml:space="preserve"> (s cilji, kjer je to smiselno) umeščanja fotovoltaičnih elektrarn na kmetijska območja s ciljem ugotoviti, kje je njihova prisotnost za biotsko raznovrstnost in učinkovitost kmetovanja koristna oziroma škodljiva.</w:t>
      </w:r>
    </w:p>
    <w:p w:rsidR="00000000" w:rsidDel="00000000" w:rsidP="00000000" w:rsidRDefault="00000000" w:rsidRPr="00000000" w14:paraId="00000040">
      <w:pPr>
        <w:spacing w:after="240" w:before="24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8.2. Vpliv projektov na biotsko raznovrstnost je treba oceniti, spremljati, analizirati in izsledke objaviti pred izvedbo projekta, med njo in po </w:t>
      </w:r>
      <w:r w:rsidDel="00000000" w:rsidR="00000000" w:rsidRPr="00000000">
        <w:rPr>
          <w:rFonts w:ascii="Times New Roman" w:cs="Times New Roman" w:eastAsia="Times New Roman" w:hAnsi="Times New Roman"/>
          <w:i w:val="1"/>
          <w:sz w:val="24"/>
          <w:szCs w:val="24"/>
          <w:rtl w:val="0"/>
        </w:rPr>
        <w:t xml:space="preserve">njegovem</w:t>
      </w:r>
      <w:r w:rsidDel="00000000" w:rsidR="00000000" w:rsidRPr="00000000">
        <w:rPr>
          <w:rFonts w:ascii="Times New Roman" w:cs="Times New Roman" w:eastAsia="Times New Roman" w:hAnsi="Times New Roman"/>
          <w:i w:val="1"/>
          <w:sz w:val="24"/>
          <w:szCs w:val="24"/>
          <w:rtl w:val="0"/>
        </w:rPr>
        <w:t xml:space="preserve"> zaključku.</w:t>
      </w:r>
    </w:p>
    <w:p w:rsidR="00000000" w:rsidDel="00000000" w:rsidP="00000000" w:rsidRDefault="00000000" w:rsidRPr="00000000" w14:paraId="00000041">
      <w:pPr>
        <w:spacing w:after="240" w:before="24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8.3. Razviti je treba smernice glede tega, kako oblikovati ambicije glede biotske raznovrstnosti na določenih območjih oziroma v zvezi z določenimi vrstami. V nekaterih primerih zadoščajo pristopi na ravni populacij, v drugih pa je ravnovesje bolj občutljivo in je treba zagotoviti preživetje vsakega osebka.</w:t>
      </w:r>
    </w:p>
    <w:p w:rsidR="00000000" w:rsidDel="00000000" w:rsidP="00000000" w:rsidRDefault="00000000" w:rsidRPr="00000000" w14:paraId="00000042">
      <w:pPr>
        <w:spacing w:after="240" w:before="24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8.4. Razviti je treba dobre prakse in smernice, ki bodo </w:t>
      </w:r>
      <w:r w:rsidDel="00000000" w:rsidR="00000000" w:rsidRPr="00000000">
        <w:rPr>
          <w:rFonts w:ascii="Times New Roman" w:cs="Times New Roman" w:eastAsia="Times New Roman" w:hAnsi="Times New Roman"/>
          <w:sz w:val="24"/>
          <w:szCs w:val="24"/>
          <w:rtl w:val="0"/>
        </w:rPr>
        <w:t xml:space="preserve">pripravljalcem </w:t>
      </w:r>
      <w:r w:rsidDel="00000000" w:rsidR="00000000" w:rsidRPr="00000000">
        <w:rPr>
          <w:rFonts w:ascii="Times New Roman" w:cs="Times New Roman" w:eastAsia="Times New Roman" w:hAnsi="Times New Roman"/>
          <w:i w:val="1"/>
          <w:sz w:val="24"/>
          <w:szCs w:val="24"/>
          <w:rtl w:val="0"/>
        </w:rPr>
        <w:t xml:space="preserve">pomagale povečati biotsko raznovrstnost.</w:t>
      </w:r>
    </w:p>
    <w:p w:rsidR="00000000" w:rsidDel="00000000" w:rsidP="00000000" w:rsidRDefault="00000000" w:rsidRPr="00000000" w14:paraId="00000043">
      <w:pPr>
        <w:spacing w:after="240" w:before="24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8.5. Razviti je treba merila za </w:t>
      </w:r>
      <w:r w:rsidDel="00000000" w:rsidR="00000000" w:rsidRPr="00000000">
        <w:rPr>
          <w:rFonts w:ascii="Times New Roman" w:cs="Times New Roman" w:eastAsia="Times New Roman" w:hAnsi="Times New Roman"/>
          <w:i w:val="1"/>
          <w:sz w:val="24"/>
          <w:szCs w:val="24"/>
          <w:rtl w:val="0"/>
        </w:rPr>
        <w:t xml:space="preserve">kompenzacijo</w:t>
      </w:r>
      <w:r w:rsidDel="00000000" w:rsidR="00000000" w:rsidRPr="00000000">
        <w:rPr>
          <w:rFonts w:ascii="Times New Roman" w:cs="Times New Roman" w:eastAsia="Times New Roman" w:hAnsi="Times New Roman"/>
          <w:i w:val="1"/>
          <w:sz w:val="24"/>
          <w:szCs w:val="24"/>
          <w:rtl w:val="0"/>
        </w:rPr>
        <w:t xml:space="preserve"> – to pomeni, da je treba podjetjem zagotoviti jasne smernice in časovnice glede kompenziranja morebitnih izgub biotske </w:t>
      </w:r>
      <w:r w:rsidDel="00000000" w:rsidR="00000000" w:rsidRPr="00000000">
        <w:rPr>
          <w:rFonts w:ascii="Times New Roman" w:cs="Times New Roman" w:eastAsia="Times New Roman" w:hAnsi="Times New Roman"/>
          <w:i w:val="1"/>
          <w:sz w:val="24"/>
          <w:szCs w:val="24"/>
          <w:rtl w:val="0"/>
        </w:rPr>
        <w:t xml:space="preserve">raznovrstnosti</w:t>
      </w:r>
      <w:r w:rsidDel="00000000" w:rsidR="00000000" w:rsidRPr="00000000">
        <w:rPr>
          <w:rFonts w:ascii="Times New Roman" w:cs="Times New Roman" w:eastAsia="Times New Roman" w:hAnsi="Times New Roman"/>
          <w:i w:val="1"/>
          <w:sz w:val="24"/>
          <w:szCs w:val="24"/>
          <w:rtl w:val="0"/>
        </w:rPr>
        <w:t xml:space="preserve"> zaradi njihovih projektov.</w:t>
      </w:r>
    </w:p>
    <w:p w:rsidR="00000000" w:rsidDel="00000000" w:rsidP="00000000" w:rsidRDefault="00000000" w:rsidRPr="00000000" w14:paraId="00000044">
      <w:pPr>
        <w:spacing w:after="240" w:befor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numPr>
          <w:ilvl w:val="0"/>
          <w:numId w:val="8"/>
        </w:numPr>
        <w:spacing w:after="360" w:lineRule="auto"/>
        <w:ind w:left="720" w:hanging="360"/>
        <w:rPr/>
      </w:pPr>
      <w:r w:rsidDel="00000000" w:rsidR="00000000" w:rsidRPr="00000000">
        <w:rPr>
          <w:rFonts w:ascii="Times New Roman" w:cs="Times New Roman" w:eastAsia="Times New Roman" w:hAnsi="Times New Roman"/>
          <w:b w:val="1"/>
          <w:sz w:val="24"/>
          <w:szCs w:val="24"/>
          <w:rtl w:val="0"/>
        </w:rPr>
        <w:t xml:space="preserve">Digitalizacija postopka izdajanja dovoljenj</w:t>
      </w:r>
    </w:p>
    <w:p w:rsidR="00000000" w:rsidDel="00000000" w:rsidP="00000000" w:rsidRDefault="00000000" w:rsidRPr="00000000" w14:paraId="00000046">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Številni dokumenti s stališči</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javna </w:t>
      </w:r>
      <w:r w:rsidDel="00000000" w:rsidR="00000000" w:rsidRPr="00000000">
        <w:rPr>
          <w:rFonts w:ascii="Times New Roman" w:cs="Times New Roman" w:eastAsia="Times New Roman" w:hAnsi="Times New Roman"/>
          <w:sz w:val="24"/>
          <w:szCs w:val="24"/>
          <w:rtl w:val="0"/>
        </w:rPr>
        <w:t xml:space="preserve">posvetovanja</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in študije</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osredotočeni na ovire pri uvajanju obnovljivih virov energije, poudarjajo pomembnost digitalizacije v celotnem postopku izdaje dovoljenj. Organi oblasti bi morali na tem področju še napredovati, vendar je za zagotovitev uporabniku prijaznih in namenskih platform, ki pospešujejo izdajo dovoljenj, potrebno sodelovanje z </w:t>
      </w:r>
      <w:r w:rsidDel="00000000" w:rsidR="00000000" w:rsidRPr="00000000">
        <w:rPr>
          <w:rFonts w:ascii="Times New Roman" w:cs="Times New Roman" w:eastAsia="Times New Roman" w:hAnsi="Times New Roman"/>
          <w:sz w:val="24"/>
          <w:szCs w:val="24"/>
          <w:rtl w:val="0"/>
        </w:rPr>
        <w:t xml:space="preserve">pripravljalci</w:t>
      </w:r>
      <w:r w:rsidDel="00000000" w:rsidR="00000000" w:rsidRPr="00000000">
        <w:rPr>
          <w:rFonts w:ascii="Times New Roman" w:cs="Times New Roman" w:eastAsia="Times New Roman" w:hAnsi="Times New Roman"/>
          <w:sz w:val="24"/>
          <w:szCs w:val="24"/>
          <w:rtl w:val="0"/>
        </w:rPr>
        <w:t xml:space="preserve"> projektov in drugimi deležniki.</w:t>
      </w:r>
    </w:p>
    <w:p w:rsidR="00000000" w:rsidDel="00000000" w:rsidP="00000000" w:rsidRDefault="00000000" w:rsidRPr="00000000" w14:paraId="00000047">
      <w:pPr>
        <w:spacing w:before="12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9.1. Organi oblasti bi si </w:t>
      </w:r>
      <w:r w:rsidDel="00000000" w:rsidR="00000000" w:rsidRPr="00000000">
        <w:rPr>
          <w:rFonts w:ascii="Times New Roman" w:cs="Times New Roman" w:eastAsia="Times New Roman" w:hAnsi="Times New Roman"/>
          <w:i w:val="1"/>
          <w:sz w:val="24"/>
          <w:szCs w:val="24"/>
          <w:rtl w:val="0"/>
        </w:rPr>
        <w:t xml:space="preserve">morali</w:t>
      </w:r>
      <w:r w:rsidDel="00000000" w:rsidR="00000000" w:rsidRPr="00000000">
        <w:rPr>
          <w:rFonts w:ascii="Times New Roman" w:cs="Times New Roman" w:eastAsia="Times New Roman" w:hAnsi="Times New Roman"/>
          <w:i w:val="1"/>
          <w:sz w:val="24"/>
          <w:szCs w:val="24"/>
          <w:rtl w:val="0"/>
        </w:rPr>
        <w:t xml:space="preserve"> prizadevati za popolno digitalizacijo postopkov izdaje dovoljenj ter svoj napredek na tem področju vsako leto oceniti in izsledke objaviti.</w:t>
      </w:r>
    </w:p>
    <w:p w:rsidR="00000000" w:rsidDel="00000000" w:rsidP="00000000" w:rsidRDefault="00000000" w:rsidRPr="00000000" w14:paraId="00000048">
      <w:pPr>
        <w:spacing w:after="240" w:before="240"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9.2. Razviti je treba platformo, ki uporabnikom digitalne infrastrukture omogoča posredovanje povratnih informacij za izboljšanje postopkov.</w:t>
      </w:r>
    </w:p>
    <w:p w:rsidR="00000000" w:rsidDel="00000000" w:rsidP="00000000" w:rsidRDefault="00000000" w:rsidRPr="00000000" w14:paraId="00000049">
      <w:pPr>
        <w:spacing w:after="240" w:befor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A">
      <w:pPr>
        <w:numPr>
          <w:ilvl w:val="0"/>
          <w:numId w:val="10"/>
        </w:numPr>
        <w:spacing w:after="360" w:lineRule="auto"/>
        <w:ind w:left="720" w:hanging="360"/>
        <w:rPr/>
      </w:pPr>
      <w:r w:rsidDel="00000000" w:rsidR="00000000" w:rsidRPr="00000000">
        <w:rPr>
          <w:rFonts w:ascii="Times New Roman" w:cs="Times New Roman" w:eastAsia="Times New Roman" w:hAnsi="Times New Roman"/>
          <w:b w:val="1"/>
          <w:sz w:val="24"/>
          <w:szCs w:val="24"/>
          <w:rtl w:val="0"/>
        </w:rPr>
        <w:t xml:space="preserve">Preučitev najmanjših razdalj za vetrne projekte</w:t>
      </w:r>
    </w:p>
    <w:p w:rsidR="00000000" w:rsidDel="00000000" w:rsidP="00000000" w:rsidRDefault="00000000" w:rsidRPr="00000000" w14:paraId="0000004B">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Odločevalci morajo preučiti predpisane najmanjše razdalje med vetrnimi elektrarnami in stanovanjskimi območji. Poznamo dva </w:t>
      </w:r>
      <w:r w:rsidDel="00000000" w:rsidR="00000000" w:rsidRPr="00000000">
        <w:rPr>
          <w:rFonts w:ascii="Times New Roman" w:cs="Times New Roman" w:eastAsia="Times New Roman" w:hAnsi="Times New Roman"/>
          <w:sz w:val="24"/>
          <w:szCs w:val="24"/>
          <w:rtl w:val="0"/>
        </w:rPr>
        <w:t xml:space="preserve">pristopa</w:t>
      </w:r>
      <w:r w:rsidDel="00000000" w:rsidR="00000000" w:rsidRPr="00000000">
        <w:rPr>
          <w:rFonts w:ascii="Times New Roman" w:cs="Times New Roman" w:eastAsia="Times New Roman" w:hAnsi="Times New Roman"/>
          <w:sz w:val="24"/>
          <w:szCs w:val="24"/>
          <w:rtl w:val="0"/>
        </w:rPr>
        <w:t xml:space="preserve">: enega, kjer je razdalja odvisna od višine vetrnih turbin (kot npr. na Škotskem, Poljskem, v nemški zvezni deželi Bavarska), in enega, kjer se razdalja upošteva neposredno. Dokazano je, da predpisi, ki upoštevajo višino turbin, ovirajo širjenje izrabe vetrne energije</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in tudi, ko se nekateri projekti </w:t>
      </w:r>
      <w:r w:rsidDel="00000000" w:rsidR="00000000" w:rsidRPr="00000000">
        <w:rPr>
          <w:rFonts w:ascii="Times New Roman" w:cs="Times New Roman" w:eastAsia="Times New Roman" w:hAnsi="Times New Roman"/>
          <w:sz w:val="24"/>
          <w:szCs w:val="24"/>
          <w:rtl w:val="0"/>
        </w:rPr>
        <w:t xml:space="preserve">izvedejo</w:t>
      </w:r>
      <w:r w:rsidDel="00000000" w:rsidR="00000000" w:rsidRPr="00000000">
        <w:rPr>
          <w:rFonts w:ascii="Times New Roman" w:cs="Times New Roman" w:eastAsia="Times New Roman" w:hAnsi="Times New Roman"/>
          <w:sz w:val="24"/>
          <w:szCs w:val="24"/>
          <w:rtl w:val="0"/>
        </w:rPr>
        <w:t xml:space="preserve">, morda niso optimalni z </w:t>
      </w:r>
      <w:r w:rsidDel="00000000" w:rsidR="00000000" w:rsidRPr="00000000">
        <w:rPr>
          <w:rFonts w:ascii="Times New Roman" w:cs="Times New Roman" w:eastAsia="Times New Roman" w:hAnsi="Times New Roman"/>
          <w:sz w:val="24"/>
          <w:szCs w:val="24"/>
          <w:rtl w:val="0"/>
        </w:rPr>
        <w:t xml:space="preserve">ekonomskega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vidika</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Združenje za promocijo vetrne energije WindEurope je kot najboljšo prakso predlagalo določitev najmanjše razdalje 500 metrov, v državah, kjer že uspešno uporabljajo manjše razdalje, pa naj se te uporabljajo še naprej</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Res pa je, da razmerje med najmanjšimi razdaljami ter njihovimi socialnimi in okoljskimi vplivi ni vedno jasno. V določenih primerih lahko </w:t>
      </w:r>
      <w:r w:rsidDel="00000000" w:rsidR="00000000" w:rsidRPr="00000000">
        <w:rPr>
          <w:rFonts w:ascii="Times New Roman" w:cs="Times New Roman" w:eastAsia="Times New Roman" w:hAnsi="Times New Roman"/>
          <w:sz w:val="24"/>
          <w:szCs w:val="24"/>
          <w:rtl w:val="0"/>
        </w:rPr>
        <w:t xml:space="preserve">večje</w:t>
      </w:r>
      <w:r w:rsidDel="00000000" w:rsidR="00000000" w:rsidRPr="00000000">
        <w:rPr>
          <w:rFonts w:ascii="Times New Roman" w:cs="Times New Roman" w:eastAsia="Times New Roman" w:hAnsi="Times New Roman"/>
          <w:sz w:val="24"/>
          <w:szCs w:val="24"/>
          <w:rtl w:val="0"/>
        </w:rPr>
        <w:t xml:space="preserve"> minimalne razdalje ne le ovirajo širjenje vetrne energije (npr. na Madžarskem</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temveč tudi povzročajo okoljsko škodo, saj so projekti izrinjeni na nenaseljena območja ali območja brez obstoječe človeške dejavnosti</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C">
      <w:pPr>
        <w:spacing w:before="12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10.1.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Predpisane najmanjše razdalje za vetrno energijo je treba preučiti in jih določiti glede na nedavne izkušnje in dobre prakse z evropskega področja ter ob upoštevanju lokalnih posebnosti.</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Times New Roman" w:cs="Times New Roman" w:eastAsia="Times New Roman" w:hAnsi="Times New Roman"/>
            <w:color w:val="1155cc"/>
            <w:sz w:val="16"/>
            <w:szCs w:val="16"/>
            <w:u w:val="single"/>
            <w:rtl w:val="0"/>
          </w:rPr>
          <w:t xml:space="preserve">https://eur-lex.europa.eu/resource.html?uri=cellar:b828d165-1c22-11ea-8c1f-01aa75ed71a1.0002.02/DOC_1&amp;format=PDF</w:t>
        </w:r>
      </w:hyperlink>
      <w:r w:rsidDel="00000000" w:rsidR="00000000" w:rsidRPr="00000000">
        <w:rPr>
          <w:rFonts w:ascii="Times New Roman" w:cs="Times New Roman" w:eastAsia="Times New Roman" w:hAnsi="Times New Roman"/>
          <w:sz w:val="16"/>
          <w:szCs w:val="16"/>
          <w:rtl w:val="0"/>
        </w:rPr>
        <w:t xml:space="preserve">, p. 2.</w:t>
      </w:r>
    </w:p>
  </w:footnote>
  <w:footnote w:id="1">
    <w:p w:rsidR="00000000" w:rsidDel="00000000" w:rsidP="00000000" w:rsidRDefault="00000000" w:rsidRPr="00000000" w14:paraId="0000004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hyperlink r:id="rId2">
        <w:r w:rsidDel="00000000" w:rsidR="00000000" w:rsidRPr="00000000">
          <w:rPr>
            <w:rFonts w:ascii="Times New Roman" w:cs="Times New Roman" w:eastAsia="Times New Roman" w:hAnsi="Times New Roman"/>
            <w:rtl w:val="0"/>
          </w:rPr>
          <w:t xml:space="preserve"> </w:t>
        </w:r>
      </w:hyperlink>
      <w:hyperlink r:id="rId3">
        <w:r w:rsidDel="00000000" w:rsidR="00000000" w:rsidRPr="00000000">
          <w:rPr>
            <w:rFonts w:ascii="Times New Roman" w:cs="Times New Roman" w:eastAsia="Times New Roman" w:hAnsi="Times New Roman"/>
            <w:color w:val="1155cc"/>
            <w:sz w:val="16"/>
            <w:szCs w:val="16"/>
            <w:u w:val="single"/>
            <w:rtl w:val="0"/>
          </w:rPr>
          <w:t xml:space="preserve">https://eur-lex.europa.eu/legal-content/EN/TXT/?uri=PI_COM%3AC%282022%293219</w:t>
        </w:r>
      </w:hyperlink>
      <w:r w:rsidDel="00000000" w:rsidR="00000000" w:rsidRPr="00000000">
        <w:rPr>
          <w:rtl w:val="0"/>
        </w:rPr>
      </w:r>
    </w:p>
  </w:footnote>
  <w:footnote w:id="2">
    <w:p w:rsidR="00000000" w:rsidDel="00000000" w:rsidP="00000000" w:rsidRDefault="00000000" w:rsidRPr="00000000" w14:paraId="00000050">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hyperlink r:id="rId4">
        <w:r w:rsidDel="00000000" w:rsidR="00000000" w:rsidRPr="00000000">
          <w:rPr>
            <w:rFonts w:ascii="Times New Roman" w:cs="Times New Roman" w:eastAsia="Times New Roman" w:hAnsi="Times New Roman"/>
            <w:rtl w:val="0"/>
          </w:rPr>
          <w:t xml:space="preserve"> </w:t>
        </w:r>
      </w:hyperlink>
      <w:hyperlink r:id="rId5">
        <w:r w:rsidDel="00000000" w:rsidR="00000000" w:rsidRPr="00000000">
          <w:rPr>
            <w:rFonts w:ascii="Times New Roman" w:cs="Times New Roman" w:eastAsia="Times New Roman" w:hAnsi="Times New Roman"/>
            <w:color w:val="1155cc"/>
            <w:sz w:val="16"/>
            <w:szCs w:val="16"/>
            <w:u w:val="single"/>
            <w:rtl w:val="0"/>
          </w:rPr>
          <w:t xml:space="preserve">https://e-seimas.lrs.lt/portal/legalAct/lt/TAD/de1a6610a2d111eda1dbd5461e760ede?positionInSearchResults=2&amp;searchModelUUID=14ca4b87-651f-4802-adbd-dde93d9833eb</w:t>
        </w:r>
      </w:hyperlink>
      <w:r w:rsidDel="00000000" w:rsidR="00000000" w:rsidRPr="00000000">
        <w:rPr>
          <w:rtl w:val="0"/>
        </w:rPr>
      </w:r>
    </w:p>
  </w:footnote>
  <w:footnote w:id="3">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hyperlink r:id="rId6">
        <w:r w:rsidDel="00000000" w:rsidR="00000000" w:rsidRPr="00000000">
          <w:rPr>
            <w:rFonts w:ascii="Times New Roman" w:cs="Times New Roman" w:eastAsia="Times New Roman" w:hAnsi="Times New Roman"/>
            <w:color w:val="0563c1"/>
            <w:sz w:val="16"/>
            <w:szCs w:val="16"/>
            <w:u w:val="single"/>
            <w:rtl w:val="0"/>
          </w:rPr>
          <w:t xml:space="preserve">https://www.sciencedirect.com/science/article/pii/S2772569322001049</w:t>
        </w:r>
      </w:hyperlink>
      <w:r w:rsidDel="00000000" w:rsidR="00000000" w:rsidRPr="00000000">
        <w:rPr>
          <w:rtl w:val="0"/>
        </w:rPr>
      </w:r>
    </w:p>
  </w:footnote>
  <w:footnote w:id="4">
    <w:p w:rsidR="00000000" w:rsidDel="00000000" w:rsidP="00000000" w:rsidRDefault="00000000" w:rsidRPr="00000000" w14:paraId="00000052">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rFonts w:ascii="Times New Roman" w:cs="Times New Roman" w:eastAsia="Times New Roman" w:hAnsi="Times New Roman"/>
            <w:color w:val="1155cc"/>
            <w:sz w:val="16"/>
            <w:szCs w:val="16"/>
            <w:u w:val="single"/>
            <w:rtl w:val="0"/>
          </w:rPr>
          <w:t xml:space="preserve">https://eur-lex.europa.eu/legal-content/EN/TXT/PDF/?uri=CELEX:32018L2001</w:t>
        </w:r>
      </w:hyperlink>
      <w:r w:rsidDel="00000000" w:rsidR="00000000" w:rsidRPr="00000000">
        <w:rPr>
          <w:rtl w:val="0"/>
        </w:rPr>
      </w:r>
    </w:p>
  </w:footnote>
  <w:footnote w:id="5">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rFonts w:ascii="Times New Roman" w:cs="Times New Roman" w:eastAsia="Times New Roman" w:hAnsi="Times New Roman"/>
            <w:color w:val="0563c1"/>
            <w:sz w:val="16"/>
            <w:szCs w:val="16"/>
            <w:u w:val="single"/>
            <w:rtl w:val="0"/>
          </w:rPr>
          <w:t xml:space="preserve">https://eur-lex.europa.eu/legal-content/EN/TXT/PDF/?uri=CELEX:32019L0944</w:t>
        </w:r>
      </w:hyperlink>
      <w:r w:rsidDel="00000000" w:rsidR="00000000" w:rsidRPr="00000000">
        <w:rPr>
          <w:rtl w:val="0"/>
        </w:rPr>
      </w:r>
    </w:p>
  </w:footnote>
  <w:footnote w:id="6">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rFonts w:ascii="Times New Roman" w:cs="Times New Roman" w:eastAsia="Times New Roman" w:hAnsi="Times New Roman"/>
            <w:color w:val="0563c1"/>
            <w:sz w:val="16"/>
            <w:szCs w:val="16"/>
            <w:u w:val="single"/>
            <w:rtl w:val="0"/>
          </w:rPr>
          <w:t xml:space="preserve">https://www.rescoop.eu/toolbox/unleashing-the-power-of-community-energy-policy-recommendations</w:t>
        </w:r>
      </w:hyperlink>
      <w:r w:rsidDel="00000000" w:rsidR="00000000" w:rsidRPr="00000000">
        <w:rPr>
          <w:rtl w:val="0"/>
        </w:rPr>
      </w:r>
    </w:p>
  </w:footnote>
  <w:footnote w:id="7">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rFonts w:ascii="Times New Roman" w:cs="Times New Roman" w:eastAsia="Times New Roman" w:hAnsi="Times New Roman"/>
            <w:color w:val="0563c1"/>
            <w:sz w:val="16"/>
            <w:szCs w:val="16"/>
            <w:u w:val="single"/>
            <w:rtl w:val="0"/>
          </w:rPr>
          <w:t xml:space="preserve">https://joint-research-centre.ec.europa.eu/scientific-tools-databases/energy-and-industry-geography-lab_en</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8">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rFonts w:ascii="Times New Roman" w:cs="Times New Roman" w:eastAsia="Times New Roman" w:hAnsi="Times New Roman"/>
            <w:color w:val="0563c1"/>
            <w:sz w:val="16"/>
            <w:szCs w:val="16"/>
            <w:u w:val="single"/>
            <w:rtl w:val="0"/>
          </w:rPr>
          <w:t xml:space="preserve">https://www.ibat-alliance.org/the-data?locale=en</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9">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rFonts w:ascii="Times New Roman" w:cs="Times New Roman" w:eastAsia="Times New Roman" w:hAnsi="Times New Roman"/>
            <w:color w:val="1155cc"/>
            <w:sz w:val="16"/>
            <w:szCs w:val="16"/>
            <w:u w:val="single"/>
            <w:rtl w:val="0"/>
          </w:rPr>
          <w:t xml:space="preserve">https://joint-research-centre.ec.europa.eu/scientific-tools-databases/energy-and-industry-geography-lab/acceleration-areas-renewables_en</w:t>
        </w:r>
      </w:hyperlink>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footnote>
  <w:footnote w:id="10">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rFonts w:ascii="Times New Roman" w:cs="Times New Roman" w:eastAsia="Times New Roman" w:hAnsi="Times New Roman"/>
            <w:color w:val="0563c1"/>
            <w:sz w:val="16"/>
            <w:szCs w:val="16"/>
            <w:u w:val="single"/>
            <w:rtl w:val="0"/>
          </w:rPr>
          <w:t xml:space="preserve">https://wwfeu.awsassets.panda.org/downloads/repowereu_position_paper_v3.pdf</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11">
    <w:p w:rsidR="00000000" w:rsidDel="00000000" w:rsidP="00000000" w:rsidRDefault="00000000" w:rsidRPr="00000000" w14:paraId="000000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rFonts w:ascii="Times New Roman" w:cs="Times New Roman" w:eastAsia="Times New Roman" w:hAnsi="Times New Roman"/>
            <w:color w:val="0563c1"/>
            <w:sz w:val="16"/>
            <w:szCs w:val="16"/>
            <w:u w:val="single"/>
            <w:rtl w:val="0"/>
          </w:rPr>
          <w:t xml:space="preserve">https://api.solarpowereurope.org/uploads/Position_paper_Permitting_FINAL_1_711ada9642.pdf?updated_at=2022-07-27T12:34:57.105Z</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12">
    <w:p w:rsidR="00000000" w:rsidDel="00000000" w:rsidP="00000000" w:rsidRDefault="00000000" w:rsidRPr="00000000" w14:paraId="000000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Opredelitve</w:t>
      </w:r>
      <w:r w:rsidDel="00000000" w:rsidR="00000000" w:rsidRPr="00000000">
        <w:rPr>
          <w:rFonts w:ascii="Times New Roman" w:cs="Times New Roman" w:eastAsia="Times New Roman" w:hAnsi="Times New Roman"/>
          <w:sz w:val="16"/>
          <w:szCs w:val="16"/>
          <w:rtl w:val="0"/>
        </w:rPr>
        <w:t xml:space="preserve"> degradiranih (rjavih) in </w:t>
      </w:r>
      <w:r w:rsidDel="00000000" w:rsidR="00000000" w:rsidRPr="00000000">
        <w:rPr>
          <w:rFonts w:ascii="Times New Roman" w:cs="Times New Roman" w:eastAsia="Times New Roman" w:hAnsi="Times New Roman"/>
          <w:sz w:val="16"/>
          <w:szCs w:val="16"/>
          <w:rtl w:val="0"/>
        </w:rPr>
        <w:t xml:space="preserve">nezazidanih</w:t>
      </w:r>
      <w:r w:rsidDel="00000000" w:rsidR="00000000" w:rsidRPr="00000000">
        <w:rPr>
          <w:rFonts w:ascii="Times New Roman" w:cs="Times New Roman" w:eastAsia="Times New Roman" w:hAnsi="Times New Roman"/>
          <w:sz w:val="16"/>
          <w:szCs w:val="16"/>
          <w:rtl w:val="0"/>
        </w:rPr>
        <w:t xml:space="preserve"> (zelenih) površin se razlikujejo, vendar se v tem poročilu degradirane površine večinoma obravnavajo kot zemljišča, ki so bila ali so predmet poslovne ali industrijske rabe, kar pomeni, da bi jih bilo treba še naprej razvijati, preden bi jih uporabili za obnovljive vire energije. Primeri so lahko parkirišča, poslovne stavbe itd. Vendar v politiki EU opredelitev ne obstaja. Za razpravo glej:</w:t>
      </w:r>
      <w:hyperlink r:id="rId15">
        <w:r w:rsidDel="00000000" w:rsidR="00000000" w:rsidRPr="00000000">
          <w:rPr>
            <w:rFonts w:ascii="Times New Roman" w:cs="Times New Roman" w:eastAsia="Times New Roman" w:hAnsi="Times New Roman"/>
            <w:sz w:val="16"/>
            <w:szCs w:val="16"/>
            <w:rtl w:val="0"/>
          </w:rPr>
          <w:t xml:space="preserve"> </w:t>
        </w:r>
      </w:hyperlink>
      <w:hyperlink r:id="rId16">
        <w:r w:rsidDel="00000000" w:rsidR="00000000" w:rsidRPr="00000000">
          <w:rPr>
            <w:rFonts w:ascii="Times New Roman" w:cs="Times New Roman" w:eastAsia="Times New Roman" w:hAnsi="Times New Roman"/>
            <w:color w:val="1155cc"/>
            <w:sz w:val="16"/>
            <w:szCs w:val="16"/>
            <w:u w:val="single"/>
            <w:rtl w:val="0"/>
          </w:rPr>
          <w:t xml:space="preserve">https://cdnsciencepub.com/doi/10.1139/er-2021-0017</w:t>
        </w:r>
      </w:hyperlink>
      <w:r w:rsidDel="00000000" w:rsidR="00000000" w:rsidRPr="00000000">
        <w:rPr>
          <w:rFonts w:ascii="Times New Roman" w:cs="Times New Roman" w:eastAsia="Times New Roman" w:hAnsi="Times New Roman"/>
          <w:sz w:val="16"/>
          <w:szCs w:val="16"/>
          <w:rtl w:val="0"/>
        </w:rPr>
        <w:t xml:space="preserve">. Nasprotno pa razvoja na nezazidanih površinah ne ovirajo že obstoječe infrastrukturne ali druge grajene omejitve.</w:t>
      </w:r>
      <w:r w:rsidDel="00000000" w:rsidR="00000000" w:rsidRPr="00000000">
        <w:rPr>
          <w:rtl w:val="0"/>
        </w:rPr>
      </w:r>
    </w:p>
  </w:footnote>
  <w:footnote w:id="13">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rFonts w:ascii="Times New Roman" w:cs="Times New Roman" w:eastAsia="Times New Roman" w:hAnsi="Times New Roman"/>
            <w:color w:val="0563c1"/>
            <w:sz w:val="16"/>
            <w:szCs w:val="16"/>
            <w:u w:val="single"/>
            <w:rtl w:val="0"/>
          </w:rPr>
          <w:t xml:space="preserve">https://eur-lex.europa.eu/legal-content/EN/TXT/?uri=celex%3A52020DC0380</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14">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rFonts w:ascii="Times New Roman" w:cs="Times New Roman" w:eastAsia="Times New Roman" w:hAnsi="Times New Roman"/>
            <w:color w:val="0563c1"/>
            <w:sz w:val="16"/>
            <w:szCs w:val="16"/>
            <w:u w:val="single"/>
            <w:rtl w:val="0"/>
          </w:rPr>
          <w:t xml:space="preserve">https://eur-lex.europa.eu/legal-content/EN/TXT/PDF/?uri=CELEX:32022L2464</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15">
    <w:p w:rsidR="00000000" w:rsidDel="00000000" w:rsidP="00000000" w:rsidRDefault="00000000" w:rsidRPr="00000000" w14:paraId="000000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rFonts w:ascii="Times New Roman" w:cs="Times New Roman" w:eastAsia="Times New Roman" w:hAnsi="Times New Roman"/>
            <w:color w:val="0563c1"/>
            <w:sz w:val="16"/>
            <w:szCs w:val="16"/>
            <w:u w:val="single"/>
            <w:rtl w:val="0"/>
          </w:rPr>
          <w:t xml:space="preserve">https://api.solarpowereurope.org/uploads/4222_SPE_Biodiversity_report_07_mr_09172d7230.pdf</w:t>
        </w:r>
      </w:hyperlink>
      <w:r w:rsidDel="00000000" w:rsidR="00000000" w:rsidRPr="00000000">
        <w:rPr>
          <w:rFonts w:ascii="Times New Roman" w:cs="Times New Roman" w:eastAsia="Times New Roman" w:hAnsi="Times New Roman"/>
          <w:sz w:val="16"/>
          <w:szCs w:val="16"/>
          <w:rtl w:val="0"/>
        </w:rPr>
        <w:t xml:space="preserve"> in</w:t>
      </w:r>
      <w:hyperlink r:id="rId20">
        <w:r w:rsidDel="00000000" w:rsidR="00000000" w:rsidRPr="00000000">
          <w:rPr>
            <w:rFonts w:ascii="Times New Roman" w:cs="Times New Roman" w:eastAsia="Times New Roman" w:hAnsi="Times New Roman"/>
            <w:sz w:val="16"/>
            <w:szCs w:val="16"/>
            <w:rtl w:val="0"/>
          </w:rPr>
          <w:t xml:space="preserve"> </w:t>
        </w:r>
      </w:hyperlink>
      <w:hyperlink r:id="rId21">
        <w:r w:rsidDel="00000000" w:rsidR="00000000" w:rsidRPr="00000000">
          <w:rPr>
            <w:rFonts w:ascii="Times New Roman" w:cs="Times New Roman" w:eastAsia="Times New Roman" w:hAnsi="Times New Roman"/>
            <w:color w:val="0563c1"/>
            <w:sz w:val="16"/>
            <w:szCs w:val="16"/>
            <w:u w:val="single"/>
            <w:rtl w:val="0"/>
          </w:rPr>
          <w:t xml:space="preserve">https://www.solarpowereurope.org/insights/thematic-reports/agrisolar-best-practice-guidelines-version-2-2</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16">
    <w:p w:rsidR="00000000" w:rsidDel="00000000" w:rsidP="00000000" w:rsidRDefault="00000000" w:rsidRPr="00000000" w14:paraId="000000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Glej na primer</w:t>
      </w:r>
      <w:hyperlink r:id="rId22">
        <w:r w:rsidDel="00000000" w:rsidR="00000000" w:rsidRPr="00000000">
          <w:rPr>
            <w:rFonts w:ascii="Times New Roman" w:cs="Times New Roman" w:eastAsia="Times New Roman" w:hAnsi="Times New Roman"/>
            <w:sz w:val="16"/>
            <w:szCs w:val="16"/>
            <w:rtl w:val="0"/>
          </w:rPr>
          <w:t xml:space="preserve"> </w:t>
        </w:r>
      </w:hyperlink>
      <w:hyperlink r:id="rId23">
        <w:r w:rsidDel="00000000" w:rsidR="00000000" w:rsidRPr="00000000">
          <w:rPr>
            <w:rFonts w:ascii="Times New Roman" w:cs="Times New Roman" w:eastAsia="Times New Roman" w:hAnsi="Times New Roman"/>
            <w:color w:val="0563c1"/>
            <w:sz w:val="16"/>
            <w:szCs w:val="16"/>
            <w:u w:val="single"/>
            <w:rtl w:val="0"/>
          </w:rPr>
          <w:t xml:space="preserve">https://eeb.org/wp-content/uploads/2022/05/Top-10-problems-for-renewable-energy-in-Europe.pdf</w:t>
        </w:r>
      </w:hyperlink>
      <w:r w:rsidDel="00000000" w:rsidR="00000000" w:rsidRPr="00000000">
        <w:rPr>
          <w:rFonts w:ascii="Times New Roman" w:cs="Times New Roman" w:eastAsia="Times New Roman" w:hAnsi="Times New Roman"/>
          <w:sz w:val="16"/>
          <w:szCs w:val="16"/>
          <w:rtl w:val="0"/>
        </w:rPr>
        <w:t xml:space="preserve"> ali</w:t>
      </w:r>
      <w:hyperlink r:id="rId24">
        <w:r w:rsidDel="00000000" w:rsidR="00000000" w:rsidRPr="00000000">
          <w:rPr>
            <w:rFonts w:ascii="Times New Roman" w:cs="Times New Roman" w:eastAsia="Times New Roman" w:hAnsi="Times New Roman"/>
            <w:sz w:val="16"/>
            <w:szCs w:val="16"/>
            <w:rtl w:val="0"/>
          </w:rPr>
          <w:t xml:space="preserve"> </w:t>
        </w:r>
      </w:hyperlink>
      <w:hyperlink r:id="rId25">
        <w:r w:rsidDel="00000000" w:rsidR="00000000" w:rsidRPr="00000000">
          <w:rPr>
            <w:rFonts w:ascii="Times New Roman" w:cs="Times New Roman" w:eastAsia="Times New Roman" w:hAnsi="Times New Roman"/>
            <w:color w:val="0563c1"/>
            <w:sz w:val="16"/>
            <w:szCs w:val="16"/>
            <w:u w:val="single"/>
            <w:rtl w:val="0"/>
          </w:rPr>
          <w:t xml:space="preserve">https://windeurope.org/wp-content/uploads/files/policy/position-papers/20220517-WindEurope-position-paper-Wind-industry-permitting-recommendations.pdf</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17">
    <w:p w:rsidR="00000000" w:rsidDel="00000000" w:rsidP="00000000" w:rsidRDefault="00000000" w:rsidRPr="00000000" w14:paraId="0000005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6">
        <w:r w:rsidDel="00000000" w:rsidR="00000000" w:rsidRPr="00000000">
          <w:rPr>
            <w:rFonts w:ascii="Times New Roman" w:cs="Times New Roman" w:eastAsia="Times New Roman" w:hAnsi="Times New Roman"/>
            <w:color w:val="0563c1"/>
            <w:sz w:val="16"/>
            <w:szCs w:val="16"/>
            <w:u w:val="single"/>
            <w:rtl w:val="0"/>
          </w:rPr>
          <w:t xml:space="preserve">https://ec.europa.eu/info/law/better-regulation/have-your-say/initiatives/13334-Renewable-energy-projects-permit-granting-processes-power-purchase-agreements_en</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18">
    <w:p w:rsidR="00000000" w:rsidDel="00000000" w:rsidP="00000000" w:rsidRDefault="00000000" w:rsidRPr="00000000" w14:paraId="0000006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7">
        <w:r w:rsidDel="00000000" w:rsidR="00000000" w:rsidRPr="00000000">
          <w:rPr>
            <w:rFonts w:ascii="Times New Roman" w:cs="Times New Roman" w:eastAsia="Times New Roman" w:hAnsi="Times New Roman"/>
            <w:color w:val="0563c1"/>
            <w:sz w:val="16"/>
            <w:szCs w:val="16"/>
            <w:u w:val="single"/>
            <w:rtl w:val="0"/>
          </w:rPr>
          <w:t xml:space="preserve">https://www.eclareon.com/sites/default/files/res_policy_monitoring_database_final_report_01.pdf</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19">
    <w:p w:rsidR="00000000" w:rsidDel="00000000" w:rsidP="00000000" w:rsidRDefault="00000000" w:rsidRPr="00000000" w14:paraId="0000006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8">
        <w:r w:rsidDel="00000000" w:rsidR="00000000" w:rsidRPr="00000000">
          <w:rPr>
            <w:rFonts w:ascii="Times New Roman" w:cs="Times New Roman" w:eastAsia="Times New Roman" w:hAnsi="Times New Roman"/>
            <w:color w:val="0563c1"/>
            <w:sz w:val="16"/>
            <w:szCs w:val="16"/>
            <w:u w:val="single"/>
            <w:rtl w:val="0"/>
          </w:rPr>
          <w:t xml:space="preserve">https://windeurope.org/newsroom/press-releases/only-a-setback-distance-of-500-metres-will-support-onshore-wind-in-poland/</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20">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9">
        <w:r w:rsidDel="00000000" w:rsidR="00000000" w:rsidRPr="00000000">
          <w:rPr>
            <w:rFonts w:ascii="Times New Roman" w:cs="Times New Roman" w:eastAsia="Times New Roman" w:hAnsi="Times New Roman"/>
            <w:color w:val="0563c1"/>
            <w:sz w:val="16"/>
            <w:szCs w:val="16"/>
            <w:u w:val="single"/>
            <w:rtl w:val="0"/>
          </w:rPr>
          <w:t xml:space="preserve">https://www.diw.de/de/diw_01.c.832975.de/publikationen/diskussionspapiere/2021_1989/way_off__the_effect_of_minimum_distance_regulation_on_the_deployment_and_cost_of_wind_power.html</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21">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0">
        <w:r w:rsidDel="00000000" w:rsidR="00000000" w:rsidRPr="00000000">
          <w:rPr>
            <w:rFonts w:ascii="Times New Roman" w:cs="Times New Roman" w:eastAsia="Times New Roman" w:hAnsi="Times New Roman"/>
            <w:color w:val="0563c1"/>
            <w:sz w:val="16"/>
            <w:szCs w:val="16"/>
            <w:u w:val="single"/>
            <w:rtl w:val="0"/>
          </w:rPr>
          <w:t xml:space="preserve">https://windeurope.org/wp-content/uploads/files/policy/position-papers/20220517-WindEurope-position-paper-Wind-industry-permitting-recommendations.pdf</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22">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1">
        <w:r w:rsidDel="00000000" w:rsidR="00000000" w:rsidRPr="00000000">
          <w:rPr>
            <w:rFonts w:ascii="Times New Roman" w:cs="Times New Roman" w:eastAsia="Times New Roman" w:hAnsi="Times New Roman"/>
            <w:color w:val="0563c1"/>
            <w:sz w:val="16"/>
            <w:szCs w:val="16"/>
            <w:u w:val="single"/>
            <w:rtl w:val="0"/>
          </w:rPr>
          <w:t xml:space="preserve">https://www.sciencedirect.com/science/article/pii/S2210422418300029</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23">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2">
        <w:r w:rsidDel="00000000" w:rsidR="00000000" w:rsidRPr="00000000">
          <w:rPr>
            <w:rFonts w:ascii="Times New Roman" w:cs="Times New Roman" w:eastAsia="Times New Roman" w:hAnsi="Times New Roman"/>
            <w:color w:val="0563c1"/>
            <w:sz w:val="16"/>
            <w:szCs w:val="16"/>
            <w:u w:val="single"/>
            <w:rtl w:val="0"/>
          </w:rPr>
          <w:t xml:space="preserve">https://www.sciencedirect.com/science/article/abs/pii/S0301421520301841</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ind w:left="7585.5118110236235" w:firstLine="0"/>
      <w:rPr/>
    </w:pPr>
    <w:r w:rsidDel="00000000" w:rsidR="00000000" w:rsidRPr="00000000">
      <w:rPr/>
      <w:drawing>
        <wp:inline distB="114300" distT="114300" distL="114300" distR="114300">
          <wp:extent cx="833438" cy="8029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438" cy="802946"/>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7"/>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6"/>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8"/>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9"/>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5"/>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0"/>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aneurope.org/content/uploads/2023/10/Fairer-and-Faster-permitting_CAN-Europe-Briefing.pdf" TargetMode="External"/><Relationship Id="rId8" Type="http://schemas.openxmlformats.org/officeDocument/2006/relationships/hyperlink" Target="https://caneurope.org/content/uploads/2023/10/Fairer-and-Faster-permitting_CAN-Europe-Briefing.pdf"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solarpowereurope.org/insights/thematic-reports/agrisolar-best-practice-guidelines-version-2-2" TargetMode="External"/><Relationship Id="rId22" Type="http://schemas.openxmlformats.org/officeDocument/2006/relationships/hyperlink" Target="https://eeb.org/wp-content/uploads/2022/05/Top-10-problems-for-renewable-energy-in-Europe.pdf" TargetMode="External"/><Relationship Id="rId21" Type="http://schemas.openxmlformats.org/officeDocument/2006/relationships/hyperlink" Target="https://www.solarpowereurope.org/insights/thematic-reports/agrisolar-best-practice-guidelines-version-2-2" TargetMode="External"/><Relationship Id="rId24" Type="http://schemas.openxmlformats.org/officeDocument/2006/relationships/hyperlink" Target="https://windeurope.org/wp-content/uploads/files/policy/position-papers/20220517-WindEurope-position-paper-Wind-industry-permitting-recommendations.pdf" TargetMode="External"/><Relationship Id="rId23" Type="http://schemas.openxmlformats.org/officeDocument/2006/relationships/hyperlink" Target="https://eeb.org/wp-content/uploads/2022/05/Top-10-problems-for-renewable-energy-in-Europe.pdf" TargetMode="External"/><Relationship Id="rId1" Type="http://schemas.openxmlformats.org/officeDocument/2006/relationships/hyperlink" Target="https://eur-lex.europa.eu/resource.html?uri=cellar:b828d165-1c22-11ea-8c1f-01aa75ed71a1.0002.02/DOC_1&amp;format=PDF" TargetMode="External"/><Relationship Id="rId2" Type="http://schemas.openxmlformats.org/officeDocument/2006/relationships/hyperlink" Target="https://eur-lex.europa.eu/legal-content/EN/TXT/?uri=PI_COM%3AC%282022%293219." TargetMode="External"/><Relationship Id="rId3" Type="http://schemas.openxmlformats.org/officeDocument/2006/relationships/hyperlink" Target="https://eur-lex.europa.eu/legal-content/EN/TXT/?uri=PI_COM%3AC%282022%293219" TargetMode="External"/><Relationship Id="rId4" Type="http://schemas.openxmlformats.org/officeDocument/2006/relationships/hyperlink" Target="https://e-seimas.lrs.lt/portal/legalAct/lt/TAD/de1a6610a2d111eda1dbd5461e760ede?positionInSearchResults=2&amp;searchModelUUID=14ca4b87-651f-4802-adbd-dde93d9833eb." TargetMode="External"/><Relationship Id="rId9" Type="http://schemas.openxmlformats.org/officeDocument/2006/relationships/hyperlink" Target="https://www.rescoop.eu/toolbox/unleashing-the-power-of-community-energy-policy-recommendations" TargetMode="External"/><Relationship Id="rId26" Type="http://schemas.openxmlformats.org/officeDocument/2006/relationships/hyperlink" Target="https://ec.europa.eu/info/law/better-regulation/have-your-say/initiatives/13334-Renewable-energy-projects-permit-granting-processes-power-purchase-agreements_en" TargetMode="External"/><Relationship Id="rId25" Type="http://schemas.openxmlformats.org/officeDocument/2006/relationships/hyperlink" Target="https://windeurope.org/wp-content/uploads/files/policy/position-papers/20220517-WindEurope-position-paper-Wind-industry-permitting-recommendations.pdf" TargetMode="External"/><Relationship Id="rId28" Type="http://schemas.openxmlformats.org/officeDocument/2006/relationships/hyperlink" Target="https://windeurope.org/newsroom/press-releases/only-a-setback-distance-of-500-metres-will-support-onshore-wind-in-poland/" TargetMode="External"/><Relationship Id="rId27" Type="http://schemas.openxmlformats.org/officeDocument/2006/relationships/hyperlink" Target="https://www.eclareon.com/sites/default/files/res_policy_monitoring_database_final_report_01.pdf" TargetMode="External"/><Relationship Id="rId5" Type="http://schemas.openxmlformats.org/officeDocument/2006/relationships/hyperlink" Target="https://e-seimas.lrs.lt/portal/legalAct/lt/TAD/de1a6610a2d111eda1dbd5461e760ede?positionInSearchResults=2&amp;searchModelUUID=14ca4b87-651f-4802-adbd-dde93d9833eb." TargetMode="External"/><Relationship Id="rId6" Type="http://schemas.openxmlformats.org/officeDocument/2006/relationships/hyperlink" Target="https://www.sciencedirect.com/science/article/pii/S2772569322001049" TargetMode="External"/><Relationship Id="rId29" Type="http://schemas.openxmlformats.org/officeDocument/2006/relationships/hyperlink" Target="https://www.diw.de/de/diw_01.c.832975.de/publikationen/diskussionspapiere/2021_1989/way_off__the_effect_of_minimum_distance_regulation_on_the_deployment_and_cost_of_wind_power.html" TargetMode="External"/><Relationship Id="rId7" Type="http://schemas.openxmlformats.org/officeDocument/2006/relationships/hyperlink" Target="https://eur-lex.europa.eu/legal-content/EN/TXT/PDF/?uri=CELEX:32018L2001" TargetMode="External"/><Relationship Id="rId8" Type="http://schemas.openxmlformats.org/officeDocument/2006/relationships/hyperlink" Target="https://eur-lex.europa.eu/legal-content/EN/TXT/PDF/?uri=CELEX:32019L0944" TargetMode="External"/><Relationship Id="rId31" Type="http://schemas.openxmlformats.org/officeDocument/2006/relationships/hyperlink" Target="https://www.sciencedirect.com/science/article/pii/S2210422418300029" TargetMode="External"/><Relationship Id="rId30" Type="http://schemas.openxmlformats.org/officeDocument/2006/relationships/hyperlink" Target="https://windeurope.org/wp-content/uploads/files/policy/position-papers/20220517-WindEurope-position-paper-Wind-industry-permitting-recommendations.pdf" TargetMode="External"/><Relationship Id="rId11" Type="http://schemas.openxmlformats.org/officeDocument/2006/relationships/hyperlink" Target="https://www.ibat-alliance.org/the-data?locale=en" TargetMode="External"/><Relationship Id="rId10" Type="http://schemas.openxmlformats.org/officeDocument/2006/relationships/hyperlink" Target="https://joint-research-centre.ec.europa.eu/scientific-tools-databases/energy-and-industry-geography-lab_en" TargetMode="External"/><Relationship Id="rId32" Type="http://schemas.openxmlformats.org/officeDocument/2006/relationships/hyperlink" Target="https://www.sciencedirect.com/science/article/abs/pii/S0301421520301841" TargetMode="External"/><Relationship Id="rId13" Type="http://schemas.openxmlformats.org/officeDocument/2006/relationships/hyperlink" Target="https://wwfeu.awsassets.panda.org/downloads/repowereu_position_paper_v3.pdf" TargetMode="External"/><Relationship Id="rId12" Type="http://schemas.openxmlformats.org/officeDocument/2006/relationships/hyperlink" Target="https://joint-research-centre.ec.europa.eu/scientific-tools-databases/energy-and-industry-geography-lab/acceleration-areas-renewables_en" TargetMode="External"/><Relationship Id="rId15" Type="http://schemas.openxmlformats.org/officeDocument/2006/relationships/hyperlink" Target="https://cdnsciencepub.com/doi/10.1139/er-2021-0017" TargetMode="External"/><Relationship Id="rId14" Type="http://schemas.openxmlformats.org/officeDocument/2006/relationships/hyperlink" Target="https://api.solarpowereurope.org/uploads/Position_paper_Permitting_FINAL_1_711ada9642.pdf?updated_at=2022-07-27T12:34:57.105Z" TargetMode="External"/><Relationship Id="rId17" Type="http://schemas.openxmlformats.org/officeDocument/2006/relationships/hyperlink" Target="https://eur-lex.europa.eu/legal-content/EN/TXT/?uri=celex%3A52020DC0380" TargetMode="External"/><Relationship Id="rId16" Type="http://schemas.openxmlformats.org/officeDocument/2006/relationships/hyperlink" Target="https://cdnsciencepub.com/doi/10.1139/er-2021-0017" TargetMode="External"/><Relationship Id="rId19" Type="http://schemas.openxmlformats.org/officeDocument/2006/relationships/hyperlink" Target="https://api.solarpowereurope.org/uploads/4222_SPE_Biodiversity_report_07_mr_09172d7230.pdf" TargetMode="External"/><Relationship Id="rId18" Type="http://schemas.openxmlformats.org/officeDocument/2006/relationships/hyperlink" Target="https://eur-lex.europa.eu/legal-content/EN/TXT/PDF/?uri=CELEX:32022L24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