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AD204" w14:textId="32F67168" w:rsidR="00CA59B4" w:rsidRDefault="00DE4CDC" w:rsidP="00CA59B4">
      <w:pPr>
        <w:spacing w:after="0" w:line="240" w:lineRule="auto"/>
        <w:jc w:val="right"/>
      </w:pPr>
      <w:r>
        <w:t>20</w:t>
      </w:r>
      <w:r w:rsidR="00CA59B4" w:rsidRPr="00CA59B4">
        <w:t xml:space="preserve">. </w:t>
      </w:r>
      <w:r w:rsidR="005401D5">
        <w:t>november</w:t>
      </w:r>
      <w:r w:rsidR="00CA59B4" w:rsidRPr="00CA59B4">
        <w:t xml:space="preserve"> 202</w:t>
      </w:r>
      <w:r w:rsidR="005401D5">
        <w:t>4</w:t>
      </w:r>
    </w:p>
    <w:p w14:paraId="2A716723" w14:textId="77777777" w:rsidR="008F0C22" w:rsidRDefault="008F0C22">
      <w:pPr>
        <w:spacing w:after="0" w:line="240" w:lineRule="auto"/>
      </w:pPr>
    </w:p>
    <w:p w14:paraId="057DFF5F" w14:textId="77777777" w:rsidR="00C521A6" w:rsidRDefault="00C521A6">
      <w:pPr>
        <w:spacing w:after="0" w:line="240" w:lineRule="auto"/>
      </w:pPr>
    </w:p>
    <w:p w14:paraId="2B2A10B0" w14:textId="0C371CCE" w:rsidR="00E53425" w:rsidRPr="00A25FF7" w:rsidRDefault="002650E0">
      <w:pPr>
        <w:spacing w:after="0" w:line="240" w:lineRule="auto"/>
        <w:rPr>
          <w:sz w:val="32"/>
          <w:szCs w:val="24"/>
        </w:rPr>
      </w:pPr>
      <w:r w:rsidRPr="00A25FF7">
        <w:rPr>
          <w:sz w:val="32"/>
          <w:szCs w:val="24"/>
        </w:rPr>
        <w:t xml:space="preserve">Poziv </w:t>
      </w:r>
      <w:r w:rsidR="005401D5" w:rsidRPr="00A25FF7">
        <w:rPr>
          <w:sz w:val="32"/>
          <w:szCs w:val="24"/>
        </w:rPr>
        <w:t>Vladi RS, naj zavrne spremembe Uredbe EU o proizvodih, ki ne povzročajo krčenja gozdov</w:t>
      </w:r>
    </w:p>
    <w:p w14:paraId="07CF055C" w14:textId="77777777" w:rsidR="00E53425" w:rsidRDefault="00E53425">
      <w:pPr>
        <w:spacing w:after="0" w:line="240" w:lineRule="auto"/>
      </w:pPr>
    </w:p>
    <w:p w14:paraId="0C210901" w14:textId="77777777" w:rsidR="00C521A6" w:rsidRDefault="00C521A6">
      <w:pPr>
        <w:spacing w:after="0" w:line="240" w:lineRule="auto"/>
      </w:pPr>
    </w:p>
    <w:p w14:paraId="03B7D574" w14:textId="77777777" w:rsidR="00BB4F3E" w:rsidRDefault="00BB4F3E">
      <w:pPr>
        <w:spacing w:after="0" w:line="240" w:lineRule="auto"/>
      </w:pPr>
    </w:p>
    <w:p w14:paraId="60FD187D" w14:textId="77777777" w:rsidR="0023517F" w:rsidRDefault="0023517F">
      <w:pPr>
        <w:spacing w:after="0" w:line="240" w:lineRule="auto"/>
      </w:pPr>
      <w:r>
        <w:t>Spoštovana</w:t>
      </w:r>
    </w:p>
    <w:p w14:paraId="0F692DEF" w14:textId="332019B7" w:rsidR="0023517F" w:rsidRDefault="0023517F">
      <w:pPr>
        <w:spacing w:after="0" w:line="240" w:lineRule="auto"/>
      </w:pPr>
      <w:r>
        <w:t xml:space="preserve">ministrica za kmetijstvo, </w:t>
      </w:r>
      <w:r w:rsidR="007C09FC">
        <w:t>gozdarstvo in prehrano</w:t>
      </w:r>
      <w:r w:rsidR="001107D9">
        <w:t>,</w:t>
      </w:r>
    </w:p>
    <w:p w14:paraId="07E9295A" w14:textId="1255D68E" w:rsidR="005D27A9" w:rsidRDefault="005D27A9">
      <w:pPr>
        <w:spacing w:after="0" w:line="240" w:lineRule="auto"/>
      </w:pPr>
      <w:r>
        <w:t>državna sekretarka</w:t>
      </w:r>
      <w:r w:rsidR="000218CA">
        <w:t xml:space="preserve"> na ministrstvu za kmetijstvo, gozdarstvo in prehrano</w:t>
      </w:r>
    </w:p>
    <w:p w14:paraId="1C4A1544" w14:textId="6CF8EF96" w:rsidR="007C09FC" w:rsidRDefault="007C09FC">
      <w:pPr>
        <w:spacing w:after="0" w:line="240" w:lineRule="auto"/>
      </w:pPr>
    </w:p>
    <w:p w14:paraId="5F956AE2" w14:textId="5396F504" w:rsidR="007C09FC" w:rsidRDefault="007C09FC" w:rsidP="00BC7BFD">
      <w:pPr>
        <w:tabs>
          <w:tab w:val="left" w:pos="7550"/>
        </w:tabs>
        <w:spacing w:after="0" w:line="240" w:lineRule="auto"/>
      </w:pPr>
      <w:r>
        <w:t>Spoštovani</w:t>
      </w:r>
      <w:r w:rsidR="00BC7BFD">
        <w:tab/>
      </w:r>
    </w:p>
    <w:p w14:paraId="18DD2747" w14:textId="77777777" w:rsidR="00E56248" w:rsidRDefault="002133E1">
      <w:pPr>
        <w:spacing w:after="0" w:line="240" w:lineRule="auto"/>
      </w:pPr>
      <w:r>
        <w:t>predsednik Vlade RS</w:t>
      </w:r>
      <w:r w:rsidR="009A1F80">
        <w:t>,</w:t>
      </w:r>
    </w:p>
    <w:p w14:paraId="2D0D1C33" w14:textId="2F9A9738" w:rsidR="00E56248" w:rsidRDefault="00E56248">
      <w:pPr>
        <w:spacing w:after="0" w:line="240" w:lineRule="auto"/>
      </w:pPr>
      <w:r>
        <w:t>mi</w:t>
      </w:r>
      <w:r w:rsidR="004C0825">
        <w:t xml:space="preserve">nister </w:t>
      </w:r>
      <w:r>
        <w:t>za okolje, podnebje in energij</w:t>
      </w:r>
      <w:r w:rsidR="001107D9">
        <w:t>o,</w:t>
      </w:r>
    </w:p>
    <w:p w14:paraId="5A8F2E6A" w14:textId="58A80B18" w:rsidR="004C0825" w:rsidRDefault="004C0825" w:rsidP="004C0825">
      <w:pPr>
        <w:spacing w:after="0" w:line="240" w:lineRule="auto"/>
      </w:pPr>
      <w:r>
        <w:t>državni sekretar na ministrstvu za kmetijstvo, gozdarstvo in prehrano</w:t>
      </w:r>
      <w:r w:rsidR="001107D9">
        <w:t>,</w:t>
      </w:r>
    </w:p>
    <w:p w14:paraId="4F82012F" w14:textId="41BE8A0F" w:rsidR="004C0825" w:rsidRDefault="00BB2CB4" w:rsidP="004C0825">
      <w:pPr>
        <w:spacing w:after="0" w:line="240" w:lineRule="auto"/>
      </w:pPr>
      <w:r w:rsidRPr="00BB2CB4">
        <w:t>vršilec dolžnosti generalnega direktorja</w:t>
      </w:r>
      <w:r>
        <w:t xml:space="preserve"> na </w:t>
      </w:r>
      <w:r w:rsidRPr="00BB2CB4">
        <w:t>Direktorat</w:t>
      </w:r>
      <w:r>
        <w:t>u</w:t>
      </w:r>
      <w:r w:rsidRPr="00BB2CB4">
        <w:t xml:space="preserve"> za gozdarstvo in lovstvo</w:t>
      </w:r>
      <w:r w:rsidR="001107D9">
        <w:t>,</w:t>
      </w:r>
    </w:p>
    <w:p w14:paraId="6234E3EE" w14:textId="47290609" w:rsidR="009D297B" w:rsidRDefault="009D297B" w:rsidP="009D297B">
      <w:pPr>
        <w:spacing w:after="0" w:line="240" w:lineRule="auto"/>
      </w:pPr>
      <w:r>
        <w:t>generalni direktor na Direktoratu za podnebne politike</w:t>
      </w:r>
    </w:p>
    <w:p w14:paraId="6B313F8B" w14:textId="77777777" w:rsidR="00A64F9A" w:rsidRDefault="00A64F9A" w:rsidP="004C0825">
      <w:pPr>
        <w:spacing w:after="0" w:line="240" w:lineRule="auto"/>
      </w:pPr>
    </w:p>
    <w:p w14:paraId="655CCD36" w14:textId="77777777" w:rsidR="00053959" w:rsidRDefault="00053959" w:rsidP="004C0825">
      <w:pPr>
        <w:spacing w:after="0" w:line="240" w:lineRule="auto"/>
      </w:pPr>
    </w:p>
    <w:p w14:paraId="1C539E0C" w14:textId="77777777" w:rsidR="00053959" w:rsidRDefault="00053959" w:rsidP="004C0825">
      <w:pPr>
        <w:spacing w:after="0" w:line="240" w:lineRule="auto"/>
      </w:pPr>
    </w:p>
    <w:p w14:paraId="15D9BD93" w14:textId="77777777" w:rsidR="00E53425" w:rsidRDefault="00E53425">
      <w:pPr>
        <w:spacing w:after="0" w:line="240" w:lineRule="auto"/>
      </w:pPr>
    </w:p>
    <w:p w14:paraId="2862A669" w14:textId="06AEA515" w:rsidR="00E53425" w:rsidRDefault="000B5FD8">
      <w:pPr>
        <w:spacing w:after="0" w:line="240" w:lineRule="auto"/>
      </w:pPr>
      <w:bookmarkStart w:id="0" w:name="_gjdgxs"/>
      <w:bookmarkEnd w:id="0"/>
      <w:r>
        <w:t xml:space="preserve">Ko je </w:t>
      </w:r>
      <w:r w:rsidRPr="00662DA5">
        <w:t xml:space="preserve">29. junija 2023 </w:t>
      </w:r>
      <w:r w:rsidR="5D6FA895">
        <w:t>stopila v veljavo</w:t>
      </w:r>
      <w:r w:rsidR="005E2C11">
        <w:t xml:space="preserve"> U</w:t>
      </w:r>
      <w:r w:rsidR="002650E0">
        <w:t>redb</w:t>
      </w:r>
      <w:r>
        <w:t>a</w:t>
      </w:r>
      <w:r w:rsidR="00F95784">
        <w:t xml:space="preserve"> </w:t>
      </w:r>
      <w:r w:rsidR="00F95784" w:rsidRPr="00F95784">
        <w:t>EU o proizvodih, ki ne povzročajo krčenja gozdov</w:t>
      </w:r>
      <w:r>
        <w:rPr>
          <w:vertAlign w:val="superscript"/>
        </w:rPr>
        <w:footnoteReference w:id="2"/>
      </w:r>
      <w:r w:rsidR="002650E0">
        <w:t xml:space="preserve"> (v nadaljevanju: </w:t>
      </w:r>
      <w:r w:rsidR="00FA67F5">
        <w:t>EUDR</w:t>
      </w:r>
      <w:r w:rsidR="002650E0">
        <w:t>)</w:t>
      </w:r>
      <w:r w:rsidR="00EC2937">
        <w:t>,</w:t>
      </w:r>
      <w:r>
        <w:t xml:space="preserve"> je bil</w:t>
      </w:r>
      <w:r w:rsidR="00EC2937">
        <w:t xml:space="preserve"> to razlog za ponos in čestitke</w:t>
      </w:r>
      <w:r w:rsidRPr="00DE4CDC">
        <w:rPr>
          <w:b/>
          <w:bCs/>
        </w:rPr>
        <w:t xml:space="preserve">. </w:t>
      </w:r>
      <w:r w:rsidR="002650E0" w:rsidRPr="00DE4CDC">
        <w:rPr>
          <w:b/>
          <w:bCs/>
        </w:rPr>
        <w:t>Z</w:t>
      </w:r>
      <w:r w:rsidR="0045066E" w:rsidRPr="00DE4CDC">
        <w:rPr>
          <w:b/>
          <w:bCs/>
        </w:rPr>
        <w:t xml:space="preserve"> namenom zaščite svetovnih gozdov in podnebja je Uredba</w:t>
      </w:r>
      <w:r w:rsidR="002650E0" w:rsidRPr="00DE4CDC">
        <w:rPr>
          <w:b/>
          <w:bCs/>
        </w:rPr>
        <w:t xml:space="preserve"> o krčenju gozdov</w:t>
      </w:r>
      <w:r w:rsidR="0045066E" w:rsidRPr="00DE4CDC">
        <w:rPr>
          <w:b/>
          <w:bCs/>
        </w:rPr>
        <w:t xml:space="preserve"> </w:t>
      </w:r>
      <w:r w:rsidR="0080065B" w:rsidRPr="00DE4CDC">
        <w:rPr>
          <w:b/>
          <w:bCs/>
        </w:rPr>
        <w:t>prepoveda</w:t>
      </w:r>
      <w:r w:rsidR="00F95784" w:rsidRPr="00DE4CDC">
        <w:rPr>
          <w:b/>
          <w:bCs/>
        </w:rPr>
        <w:t>la</w:t>
      </w:r>
      <w:r w:rsidR="002650E0" w:rsidRPr="00DE4CDC">
        <w:rPr>
          <w:b/>
          <w:bCs/>
        </w:rPr>
        <w:t xml:space="preserve"> dajanje nekaterih </w:t>
      </w:r>
      <w:r w:rsidR="00822FC7" w:rsidRPr="00DE4CDC">
        <w:rPr>
          <w:b/>
          <w:bCs/>
        </w:rPr>
        <w:t>proizvod</w:t>
      </w:r>
      <w:r w:rsidRPr="00DE4CDC">
        <w:rPr>
          <w:b/>
          <w:bCs/>
        </w:rPr>
        <w:t>ov</w:t>
      </w:r>
      <w:r w:rsidR="00822FC7" w:rsidRPr="00DE4CDC">
        <w:rPr>
          <w:b/>
          <w:bCs/>
        </w:rPr>
        <w:t>, povezani</w:t>
      </w:r>
      <w:r w:rsidRPr="00DE4CDC">
        <w:rPr>
          <w:b/>
          <w:bCs/>
        </w:rPr>
        <w:t>h</w:t>
      </w:r>
      <w:r w:rsidR="002650E0" w:rsidRPr="00DE4CDC">
        <w:rPr>
          <w:b/>
          <w:bCs/>
        </w:rPr>
        <w:t xml:space="preserve"> s krčenjem ali degradacijo gozdov po vsem svetu, </w:t>
      </w:r>
      <w:r w:rsidR="00822FC7" w:rsidRPr="00DE4CDC">
        <w:rPr>
          <w:b/>
          <w:bCs/>
        </w:rPr>
        <w:t xml:space="preserve">na trg EU </w:t>
      </w:r>
      <w:r w:rsidR="002650E0" w:rsidRPr="00DE4CDC">
        <w:rPr>
          <w:b/>
          <w:bCs/>
        </w:rPr>
        <w:t>ter njihov izvoz s trga EU</w:t>
      </w:r>
      <w:r w:rsidR="00FA67F5" w:rsidRPr="00DE4CDC">
        <w:rPr>
          <w:b/>
          <w:bCs/>
        </w:rPr>
        <w:t>.</w:t>
      </w:r>
      <w:r w:rsidR="002650E0">
        <w:t xml:space="preserve"> </w:t>
      </w:r>
    </w:p>
    <w:p w14:paraId="6B96D7B1" w14:textId="77777777" w:rsidR="00E53425" w:rsidRDefault="00E53425">
      <w:pPr>
        <w:spacing w:after="0" w:line="240" w:lineRule="auto"/>
      </w:pPr>
    </w:p>
    <w:p w14:paraId="0B8966C0" w14:textId="78D0DB4E" w:rsidR="002C2A5F" w:rsidRDefault="002650E0" w:rsidP="002C2A5F">
      <w:pPr>
        <w:spacing w:after="0" w:line="240" w:lineRule="auto"/>
      </w:pPr>
      <w:r>
        <w:t>Svetovno podnebje in biotska raznovrstnost sta se znašla na robu</w:t>
      </w:r>
      <w:r w:rsidR="009826D4">
        <w:t xml:space="preserve"> zmogljivosti,</w:t>
      </w:r>
      <w:r>
        <w:t xml:space="preserve"> znanstveniki pa so izdali </w:t>
      </w:r>
      <w:r w:rsidR="00822FC7">
        <w:t>»</w:t>
      </w:r>
      <w:r>
        <w:t>zadnje opozorilo</w:t>
      </w:r>
      <w:r w:rsidR="00822FC7">
        <w:t>«</w:t>
      </w:r>
      <w:r>
        <w:t xml:space="preserve"> glede podnebne krize. Predsednica Evropske komisije </w:t>
      </w:r>
      <w:proofErr w:type="spellStart"/>
      <w:r>
        <w:t>Ursula</w:t>
      </w:r>
      <w:proofErr w:type="spellEnd"/>
      <w:r>
        <w:t xml:space="preserve"> von der </w:t>
      </w:r>
      <w:proofErr w:type="spellStart"/>
      <w:r>
        <w:t>Leyen</w:t>
      </w:r>
      <w:proofErr w:type="spellEnd"/>
      <w:r>
        <w:t xml:space="preserve"> je reševanje podnebnih sprememb označila za </w:t>
      </w:r>
      <w:r w:rsidR="00822FC7">
        <w:t>»</w:t>
      </w:r>
      <w:r>
        <w:t>največjo odgovornost in priložnost našega časa</w:t>
      </w:r>
      <w:r w:rsidR="00822FC7">
        <w:t>«</w:t>
      </w:r>
      <w:r w:rsidR="00C42A05">
        <w:t>.</w:t>
      </w:r>
      <w:r w:rsidR="006471D4">
        <w:t xml:space="preserve"> </w:t>
      </w:r>
      <w:r w:rsidR="00DD69CA">
        <w:t xml:space="preserve">Zato še toliko bolj presenečajo nevarni predlogi sprememb </w:t>
      </w:r>
      <w:r w:rsidR="0076358D">
        <w:t>EUDR</w:t>
      </w:r>
      <w:r w:rsidR="00DD69CA">
        <w:t xml:space="preserve">, </w:t>
      </w:r>
      <w:r w:rsidR="00A64F9A">
        <w:t xml:space="preserve">ki jih je Evropski parlament sprejel </w:t>
      </w:r>
      <w:r w:rsidR="00A041FF">
        <w:t>prejšnji teden</w:t>
      </w:r>
      <w:r w:rsidR="00DD69CA">
        <w:t xml:space="preserve">. </w:t>
      </w:r>
      <w:r w:rsidR="00A041FF">
        <w:t>Hud udarec uredbi je prišel že k</w:t>
      </w:r>
      <w:r w:rsidR="00DD69CA">
        <w:t>onec oktobra</w:t>
      </w:r>
      <w:r w:rsidR="00A041FF">
        <w:t>, ko je</w:t>
      </w:r>
      <w:r w:rsidR="00DD69CA">
        <w:t xml:space="preserve"> Komisija </w:t>
      </w:r>
      <w:r w:rsidR="002C2A5F">
        <w:t>predlagala enoletni zamik začetka izvajanja EUDR</w:t>
      </w:r>
      <w:r w:rsidR="00A041FF">
        <w:t>, a sprejete spremembe, če bodo potrjene</w:t>
      </w:r>
      <w:r w:rsidR="00BA5C7B">
        <w:t xml:space="preserve">, pomenijo, da bo </w:t>
      </w:r>
      <w:r w:rsidR="00725977">
        <w:t xml:space="preserve">zakon postal </w:t>
      </w:r>
      <w:r w:rsidR="00162DD4">
        <w:t>nefunkcionalen.</w:t>
      </w:r>
    </w:p>
    <w:p w14:paraId="3BE97B1F" w14:textId="69B4A0E4" w:rsidR="002C2A5F" w:rsidRDefault="002C2A5F" w:rsidP="002C2A5F">
      <w:pPr>
        <w:spacing w:after="0" w:line="240" w:lineRule="auto"/>
      </w:pPr>
    </w:p>
    <w:p w14:paraId="2FCBDE8F" w14:textId="56242835" w:rsidR="00162DD4" w:rsidRDefault="00162DD4" w:rsidP="00A254CA">
      <w:pPr>
        <w:spacing w:after="0" w:line="240" w:lineRule="auto"/>
      </w:pPr>
      <w:r>
        <w:t>Če bodo spremembe v pogajanjih sprejete</w:t>
      </w:r>
      <w:r w:rsidR="003B662D">
        <w:t>,</w:t>
      </w:r>
      <w:r>
        <w:t xml:space="preserve"> bodo uvedle novo kategorijo držav „brez tveganja“ za deforestacijo, ki bo podjetja oprostila zahtev po skrbnem preverjanju na območju celotne države. Namen EPP</w:t>
      </w:r>
      <w:r w:rsidR="00AD6CC8">
        <w:t xml:space="preserve"> </w:t>
      </w:r>
      <w:r w:rsidR="00A25FF7">
        <w:t>(</w:t>
      </w:r>
      <w:r w:rsidR="00AD6CC8">
        <w:t>predlagatelj</w:t>
      </w:r>
      <w:r w:rsidR="00A25FF7">
        <w:t xml:space="preserve"> </w:t>
      </w:r>
      <w:r w:rsidR="00AD6CC8">
        <w:t>sprememb</w:t>
      </w:r>
      <w:r w:rsidR="00A25FF7">
        <w:t>)</w:t>
      </w:r>
      <w:r>
        <w:t xml:space="preserve"> je jasen - </w:t>
      </w:r>
      <w:r w:rsidRPr="00325375">
        <w:rPr>
          <w:b/>
          <w:bCs/>
        </w:rPr>
        <w:t>vrzel je bila oblikovana za izvzetje držav članic EU</w:t>
      </w:r>
      <w:r>
        <w:rPr>
          <w:b/>
          <w:bCs/>
        </w:rPr>
        <w:t xml:space="preserve"> iz zakona</w:t>
      </w:r>
      <w:r>
        <w:t xml:space="preserve">. </w:t>
      </w:r>
      <w:r w:rsidRPr="00DE4CDC">
        <w:t xml:space="preserve">S tem bi se izničil potencial EUDR pri preprečevanju degradacije </w:t>
      </w:r>
      <w:r w:rsidR="5D6FA895" w:rsidRPr="00DE4CDC">
        <w:t xml:space="preserve">gozdov </w:t>
      </w:r>
      <w:r w:rsidRPr="00DE4CDC">
        <w:t>(tj. zaščiti naravnih gozdov) v Evropi.</w:t>
      </w:r>
    </w:p>
    <w:p w14:paraId="7F26D074" w14:textId="7CA731E2" w:rsidR="00A254CA" w:rsidRDefault="00A254CA" w:rsidP="00A254CA">
      <w:pPr>
        <w:spacing w:after="0" w:line="240" w:lineRule="auto"/>
      </w:pPr>
    </w:p>
    <w:p w14:paraId="36C558BC" w14:textId="54C8BDC3" w:rsidR="00297EF8" w:rsidRDefault="00162DD4" w:rsidP="00162DD4">
      <w:pPr>
        <w:rPr>
          <w:b/>
          <w:bCs/>
        </w:rPr>
      </w:pPr>
      <w:r w:rsidRPr="00A25FF7">
        <w:rPr>
          <w:b/>
          <w:bCs/>
        </w:rPr>
        <w:t xml:space="preserve">Vse oči so zdaj uprte v Svet EU. </w:t>
      </w:r>
      <w:r w:rsidR="00A25FF7" w:rsidRPr="00A25FF7">
        <w:rPr>
          <w:b/>
          <w:bCs/>
        </w:rPr>
        <w:t>Vlado RS p</w:t>
      </w:r>
      <w:r w:rsidRPr="00A25FF7">
        <w:rPr>
          <w:b/>
          <w:bCs/>
        </w:rPr>
        <w:t xml:space="preserve">ozivamo, da v skladu s stališčem iz 16. oktobra 2024 </w:t>
      </w:r>
      <w:r w:rsidR="5D6FA895" w:rsidRPr="00A25FF7">
        <w:rPr>
          <w:b/>
          <w:bCs/>
        </w:rPr>
        <w:t>zavrne</w:t>
      </w:r>
      <w:r w:rsidRPr="00A25FF7">
        <w:rPr>
          <w:b/>
          <w:bCs/>
        </w:rPr>
        <w:t xml:space="preserve"> </w:t>
      </w:r>
      <w:r w:rsidR="00A254CA" w:rsidRPr="00A25FF7">
        <w:rPr>
          <w:b/>
          <w:bCs/>
        </w:rPr>
        <w:t>spremembe</w:t>
      </w:r>
      <w:r w:rsidRPr="00A25FF7">
        <w:rPr>
          <w:b/>
          <w:bCs/>
        </w:rPr>
        <w:t xml:space="preserve">, ki jih je sprejel </w:t>
      </w:r>
      <w:r w:rsidR="00A254CA" w:rsidRPr="00A25FF7">
        <w:rPr>
          <w:b/>
          <w:bCs/>
        </w:rPr>
        <w:t>Evropski</w:t>
      </w:r>
      <w:r w:rsidRPr="00A25FF7">
        <w:rPr>
          <w:b/>
          <w:bCs/>
        </w:rPr>
        <w:t xml:space="preserve"> parlament 14. n</w:t>
      </w:r>
      <w:r w:rsidR="5D6FA895" w:rsidRPr="00A25FF7">
        <w:rPr>
          <w:b/>
          <w:bCs/>
        </w:rPr>
        <w:t>ovembra 2024</w:t>
      </w:r>
      <w:r w:rsidRPr="00A25FF7">
        <w:rPr>
          <w:b/>
          <w:bCs/>
        </w:rPr>
        <w:t xml:space="preserve"> in </w:t>
      </w:r>
      <w:r w:rsidR="5D6FA895" w:rsidRPr="00A25FF7">
        <w:rPr>
          <w:b/>
          <w:bCs/>
        </w:rPr>
        <w:t>vztraja</w:t>
      </w:r>
      <w:r w:rsidRPr="00A25FF7">
        <w:rPr>
          <w:b/>
          <w:bCs/>
        </w:rPr>
        <w:t xml:space="preserve"> pri stališču </w:t>
      </w:r>
      <w:r w:rsidR="00185493">
        <w:rPr>
          <w:b/>
          <w:bCs/>
        </w:rPr>
        <w:t>»samo</w:t>
      </w:r>
      <w:r w:rsidRPr="00A25FF7">
        <w:rPr>
          <w:b/>
          <w:bCs/>
        </w:rPr>
        <w:t xml:space="preserve"> eno leto </w:t>
      </w:r>
      <w:r w:rsidR="5D6FA895" w:rsidRPr="00A25FF7">
        <w:rPr>
          <w:b/>
          <w:bCs/>
        </w:rPr>
        <w:t>zamika</w:t>
      </w:r>
      <w:r w:rsidR="00185493">
        <w:rPr>
          <w:b/>
          <w:bCs/>
        </w:rPr>
        <w:t>«</w:t>
      </w:r>
      <w:r w:rsidR="5D6FA895" w:rsidRPr="00A25FF7">
        <w:rPr>
          <w:b/>
          <w:bCs/>
        </w:rPr>
        <w:t>.</w:t>
      </w:r>
    </w:p>
    <w:p w14:paraId="3DB0B90F" w14:textId="77777777" w:rsidR="006471D4" w:rsidRPr="00A25FF7" w:rsidRDefault="006471D4" w:rsidP="00162DD4">
      <w:pPr>
        <w:rPr>
          <w:b/>
          <w:bCs/>
        </w:rPr>
      </w:pPr>
    </w:p>
    <w:p w14:paraId="53D8173A" w14:textId="5EC8B2AE" w:rsidR="00297EF8" w:rsidRDefault="5D6FA895" w:rsidP="00162DD4">
      <w:r>
        <w:lastRenderedPageBreak/>
        <w:t>Ključni razlog</w:t>
      </w:r>
      <w:r w:rsidR="00DE4CDC">
        <w:t>, zakaj je treba spremembe nujno zavrniti</w:t>
      </w:r>
      <w:r w:rsidR="00162DD4">
        <w:t>:</w:t>
      </w:r>
    </w:p>
    <w:p w14:paraId="5EFDAFEC" w14:textId="6B758BC6" w:rsidR="00162DD4" w:rsidRDefault="5D6FA895" w:rsidP="00162DD4">
      <w:r w:rsidRPr="00DE4CDC">
        <w:rPr>
          <w:b/>
          <w:bCs/>
        </w:rPr>
        <w:t>Nefunkcionalnost EUDR</w:t>
      </w:r>
      <w:r w:rsidR="00162DD4" w:rsidRPr="00245DF1">
        <w:t xml:space="preserve"> </w:t>
      </w:r>
      <w:r w:rsidR="00162DD4">
        <w:br/>
        <w:t xml:space="preserve">Spremembe ustvarjajo vrzel - </w:t>
      </w:r>
      <w:r w:rsidR="00B46B3A">
        <w:t>u</w:t>
      </w:r>
      <w:r>
        <w:t>vedba kategorije držav »brez tveganja« za deforestacijo bi omogočila podjetjem, da se izognejo skrbnemu preverjanju. Tako bi lahko proizvode, povezane s krčenjem gozdov, pred uvozom prepeljali skozi države brez tveganja, kar bi ustvarilo „trgovinske oaze“.</w:t>
      </w:r>
      <w:r w:rsidR="006471D4">
        <w:t xml:space="preserve"> </w:t>
      </w:r>
    </w:p>
    <w:p w14:paraId="626B02CF" w14:textId="4EA76AC3" w:rsidR="00162DD4" w:rsidRPr="00872DEE" w:rsidRDefault="5D6FA895" w:rsidP="00162DD4">
      <w:pPr>
        <w:rPr>
          <w:b/>
          <w:bCs/>
        </w:rPr>
      </w:pPr>
      <w:r w:rsidRPr="5D6FA895">
        <w:rPr>
          <w:b/>
          <w:bCs/>
        </w:rPr>
        <w:t>Neustrezna merila</w:t>
      </w:r>
      <w:r w:rsidR="00162DD4" w:rsidRPr="00A3665D">
        <w:rPr>
          <w:b/>
          <w:bCs/>
        </w:rPr>
        <w:t xml:space="preserve"> za </w:t>
      </w:r>
      <w:r w:rsidRPr="5D6FA895">
        <w:rPr>
          <w:b/>
          <w:bCs/>
        </w:rPr>
        <w:t>oceno tveganja</w:t>
      </w:r>
      <w:r w:rsidR="00872DEE">
        <w:rPr>
          <w:b/>
          <w:bCs/>
        </w:rPr>
        <w:br/>
      </w:r>
      <w:r>
        <w:t xml:space="preserve">Predlagana merila za določanje </w:t>
      </w:r>
      <w:r w:rsidRPr="006905D0">
        <w:t>„držav</w:t>
      </w:r>
      <w:r>
        <w:t>e</w:t>
      </w:r>
      <w:r w:rsidR="00162DD4" w:rsidRPr="006905D0">
        <w:t xml:space="preserve"> brez tveganja“ </w:t>
      </w:r>
      <w:r>
        <w:t xml:space="preserve">za deforestacijo </w:t>
      </w:r>
      <w:r w:rsidR="00162DD4" w:rsidRPr="006905D0">
        <w:t xml:space="preserve">dejansko ne </w:t>
      </w:r>
      <w:r w:rsidRPr="006905D0">
        <w:t>odraža</w:t>
      </w:r>
      <w:r>
        <w:t>jo</w:t>
      </w:r>
      <w:r w:rsidR="00162DD4" w:rsidRPr="006905D0">
        <w:t xml:space="preserve"> tveganja krčenja ali degradacije gozdov</w:t>
      </w:r>
      <w:r w:rsidR="00B46B3A">
        <w:t xml:space="preserve">. </w:t>
      </w:r>
      <w:r w:rsidR="00162DD4" w:rsidRPr="00FD69E5">
        <w:t>Predlagano merilo za ocenjevanje držav »razvoj gozdne površine« (</w:t>
      </w:r>
      <w:proofErr w:type="spellStart"/>
      <w:r w:rsidR="00162DD4" w:rsidRPr="00FD69E5">
        <w:t>forest</w:t>
      </w:r>
      <w:proofErr w:type="spellEnd"/>
      <w:r w:rsidR="00162DD4" w:rsidRPr="00FD69E5">
        <w:t xml:space="preserve"> area </w:t>
      </w:r>
      <w:proofErr w:type="spellStart"/>
      <w:r w:rsidR="00162DD4" w:rsidRPr="00FD69E5">
        <w:t>development</w:t>
      </w:r>
      <w:proofErr w:type="spellEnd"/>
      <w:r w:rsidR="00162DD4" w:rsidRPr="00FD69E5">
        <w:t>) upošteva zgolj površin</w:t>
      </w:r>
      <w:r w:rsidR="00B46B3A">
        <w:t>o</w:t>
      </w:r>
      <w:r w:rsidR="00162DD4" w:rsidRPr="00FD69E5">
        <w:t xml:space="preserve"> drevesnega pokrova, ne pa stanja gozdov. </w:t>
      </w:r>
      <w:r w:rsidR="00162DD4">
        <w:t xml:space="preserve">Z drugimi besedami, če se izsekajo primarni gozdovi, ki so ključni za shranjevanje ogljika in zaščito biotske raznovrstnosti, nato pa se zasadijo monokulturne drevesne farme - po možnosti celo v povsem drugem delu države – </w:t>
      </w:r>
      <w:r w:rsidR="00872DEE">
        <w:t>EUDR ne bi veljal.</w:t>
      </w:r>
    </w:p>
    <w:p w14:paraId="1D01887B" w14:textId="36346A87" w:rsidR="00162DD4" w:rsidRDefault="5D6FA895" w:rsidP="00162DD4">
      <w:r w:rsidRPr="5D6FA895">
        <w:rPr>
          <w:b/>
          <w:bCs/>
        </w:rPr>
        <w:t>Ogrožanje enotnega trga EU</w:t>
      </w:r>
      <w:r w:rsidR="00162DD4">
        <w:br/>
      </w:r>
      <w:r>
        <w:t xml:space="preserve">Spremembe </w:t>
      </w:r>
      <w:r w:rsidR="00162DD4">
        <w:t xml:space="preserve">bi </w:t>
      </w:r>
      <w:r>
        <w:t xml:space="preserve">lahko </w:t>
      </w:r>
      <w:r w:rsidR="00162DD4">
        <w:t>povzročile razlike med državami članicami EU</w:t>
      </w:r>
      <w:r>
        <w:t xml:space="preserve"> glede izvajanja </w:t>
      </w:r>
      <w:r w:rsidR="00872DEE">
        <w:t>EUD</w:t>
      </w:r>
      <w:r w:rsidR="009E3D86">
        <w:t>R</w:t>
      </w:r>
      <w:r>
        <w:t xml:space="preserve">, kar bi </w:t>
      </w:r>
      <w:r w:rsidR="00FD3C2D">
        <w:t>ogrozilo</w:t>
      </w:r>
      <w:r>
        <w:t xml:space="preserve"> enotni trg EU. Glede</w:t>
      </w:r>
      <w:r w:rsidR="00162DD4">
        <w:t xml:space="preserve"> na razlago spremembe bi lahko </w:t>
      </w:r>
      <w:r w:rsidR="00CC5E9B">
        <w:t>večina</w:t>
      </w:r>
      <w:r w:rsidR="00162DD4">
        <w:t xml:space="preserve"> držav imele oceno »brez tveganja«. Na primer, če uporabimo podatke FAO in </w:t>
      </w:r>
      <w:r>
        <w:t>merila</w:t>
      </w:r>
      <w:r w:rsidR="00162DD4">
        <w:t xml:space="preserve"> gozdnih površin iz leta 1990, bi lahko bile vse države EU, razen Švedske in Portugalske, uvrščene v to kategorijo</w:t>
      </w:r>
      <w:r w:rsidR="00482FA0">
        <w:t xml:space="preserve"> (seznam </w:t>
      </w:r>
      <w:r w:rsidR="003A09F1">
        <w:t>držav, ki padejo v kategorijo »brez tveganja« je priložen).</w:t>
      </w:r>
    </w:p>
    <w:p w14:paraId="322D42B3" w14:textId="74C9E2C1" w:rsidR="00162DD4" w:rsidRPr="00CC5E9B" w:rsidRDefault="5D6FA895" w:rsidP="00162DD4">
      <w:pPr>
        <w:rPr>
          <w:b/>
          <w:bCs/>
        </w:rPr>
      </w:pPr>
      <w:r w:rsidRPr="5D6FA895">
        <w:rPr>
          <w:b/>
          <w:bCs/>
        </w:rPr>
        <w:t>Diskriminacija</w:t>
      </w:r>
      <w:r w:rsidR="00162DD4" w:rsidRPr="00146557">
        <w:rPr>
          <w:b/>
          <w:bCs/>
        </w:rPr>
        <w:t xml:space="preserve"> držav s tropskimi gozdovi</w:t>
      </w:r>
      <w:r w:rsidR="00CC5E9B">
        <w:rPr>
          <w:b/>
          <w:bCs/>
        </w:rPr>
        <w:br/>
      </w:r>
      <w:r w:rsidR="00162DD4">
        <w:t xml:space="preserve">Ker </w:t>
      </w:r>
      <w:r>
        <w:t>spremembe</w:t>
      </w:r>
      <w:r w:rsidR="00162DD4">
        <w:t xml:space="preserve"> pomenijo, da EUDR za večino EU držav ne bi veljala, </w:t>
      </w:r>
      <w:r>
        <w:t>bi</w:t>
      </w:r>
      <w:r w:rsidR="00FE4600">
        <w:t xml:space="preserve"> to</w:t>
      </w:r>
      <w:r w:rsidR="00162DD4">
        <w:t xml:space="preserve"> zagotovo sprožil</w:t>
      </w:r>
      <w:r w:rsidR="00FE4600">
        <w:t>o</w:t>
      </w:r>
      <w:r w:rsidR="00162DD4">
        <w:t xml:space="preserve"> </w:t>
      </w:r>
      <w:r>
        <w:t>spore</w:t>
      </w:r>
      <w:r w:rsidR="00162DD4">
        <w:t xml:space="preserve"> v Svetovni trgovinski organizaciji</w:t>
      </w:r>
      <w:r w:rsidR="00CC5E9B">
        <w:t>.</w:t>
      </w:r>
      <w:r w:rsidR="00162DD4">
        <w:t xml:space="preserve"> </w:t>
      </w:r>
      <w:r w:rsidR="00CC5E9B">
        <w:t>WTO</w:t>
      </w:r>
      <w:r w:rsidR="00162DD4">
        <w:t xml:space="preserve"> zahteva, da je pravilo, kot je EUDR, sorazmerno s ciljem, ki ga želi zakonodajalec doseči, in temelji na objektivnih, </w:t>
      </w:r>
      <w:proofErr w:type="spellStart"/>
      <w:r w:rsidR="00162DD4">
        <w:t>nediskriminatornih</w:t>
      </w:r>
      <w:proofErr w:type="spellEnd"/>
      <w:r w:rsidR="00162DD4">
        <w:t xml:space="preserve"> merilih, </w:t>
      </w:r>
      <w:r>
        <w:t>česar</w:t>
      </w:r>
      <w:r w:rsidR="00162DD4">
        <w:t xml:space="preserve"> pa ta sprememba ne </w:t>
      </w:r>
      <w:r w:rsidR="00586660">
        <w:t>izpolnjuje</w:t>
      </w:r>
      <w:r w:rsidR="00162DD4">
        <w:t xml:space="preserve">. </w:t>
      </w:r>
    </w:p>
    <w:p w14:paraId="3DBC0526" w14:textId="202565ED" w:rsidR="00162DD4" w:rsidRPr="006471D4" w:rsidRDefault="5D6FA895" w:rsidP="00162DD4">
      <w:pPr>
        <w:rPr>
          <w:b/>
          <w:bCs/>
        </w:rPr>
      </w:pPr>
      <w:r w:rsidRPr="5D6FA895">
        <w:rPr>
          <w:b/>
          <w:bCs/>
        </w:rPr>
        <w:t xml:space="preserve">Politična motivacija sprememb, nepremišljenost in preračunljivost </w:t>
      </w:r>
      <w:proofErr w:type="spellStart"/>
      <w:r w:rsidRPr="5D6FA895">
        <w:rPr>
          <w:b/>
          <w:bCs/>
        </w:rPr>
        <w:t>EPPi</w:t>
      </w:r>
      <w:proofErr w:type="spellEnd"/>
      <w:r w:rsidR="00162DD4">
        <w:br/>
      </w:r>
      <w:r>
        <w:t xml:space="preserve">Christine </w:t>
      </w:r>
      <w:proofErr w:type="spellStart"/>
      <w:r w:rsidR="00162DD4">
        <w:t>Schneider</w:t>
      </w:r>
      <w:proofErr w:type="spellEnd"/>
      <w:r>
        <w:t xml:space="preserve"> (EPP)</w:t>
      </w:r>
      <w:r w:rsidR="00162DD4">
        <w:t xml:space="preserve"> je na </w:t>
      </w:r>
      <w:r>
        <w:t>novinarski</w:t>
      </w:r>
      <w:r w:rsidR="00162DD4">
        <w:t xml:space="preserve"> konferenci po glasovanju </w:t>
      </w:r>
      <w:hyperlink r:id="rId11">
        <w:r w:rsidRPr="5D6FA895">
          <w:rPr>
            <w:rStyle w:val="Hiperpovezava"/>
          </w:rPr>
          <w:t>priznala</w:t>
        </w:r>
      </w:hyperlink>
      <w:r w:rsidR="00162DD4">
        <w:t xml:space="preserve">, da EPP ni preverila, ali so spremembe združljive s </w:t>
      </w:r>
      <w:r w:rsidR="00FE4600">
        <w:t>WTO</w:t>
      </w:r>
      <w:r w:rsidR="00162DD4">
        <w:t xml:space="preserve">. V razkritem elektronskem sporočilu je </w:t>
      </w:r>
      <w:r w:rsidR="006471D4">
        <w:t>zapisala</w:t>
      </w:r>
      <w:r w:rsidR="00162DD4">
        <w:t>: »</w:t>
      </w:r>
      <w:r w:rsidR="00162DD4" w:rsidRPr="00D176D6">
        <w:rPr>
          <w:i/>
          <w:iCs/>
        </w:rPr>
        <w:t xml:space="preserve">Če ne bo mogoče najti dogovora s Svetom, se lahko decembra vrnemo s predlogom za umik teh sprememb, tako da se Parlament in Svet, ki je že potrdil predlog Komisije brez </w:t>
      </w:r>
      <w:proofErr w:type="spellStart"/>
      <w:r w:rsidR="00162DD4">
        <w:rPr>
          <w:i/>
          <w:iCs/>
        </w:rPr>
        <w:t>amandajev</w:t>
      </w:r>
      <w:proofErr w:type="spellEnd"/>
      <w:r w:rsidR="00162DD4" w:rsidRPr="00D176D6">
        <w:rPr>
          <w:i/>
          <w:iCs/>
        </w:rPr>
        <w:t>, vrneta k prvotnemu besedilu</w:t>
      </w:r>
      <w:r>
        <w:t>.«, kar kaže na preračunljivost s strani EPP.</w:t>
      </w:r>
    </w:p>
    <w:p w14:paraId="7CBD8C25" w14:textId="04C4CDEF" w:rsidR="006471D4" w:rsidRDefault="00162DD4" w:rsidP="00C42A05">
      <w:r w:rsidRPr="00297EF8">
        <w:rPr>
          <w:b/>
          <w:bCs/>
        </w:rPr>
        <w:t xml:space="preserve">Nasprotovanje spremembam </w:t>
      </w:r>
      <w:r w:rsidRPr="00C954FF">
        <w:rPr>
          <w:b/>
          <w:bCs/>
        </w:rPr>
        <w:t xml:space="preserve">tudi s strani podjetij in združenj </w:t>
      </w:r>
      <w:r w:rsidR="000925B4">
        <w:br/>
        <w:t xml:space="preserve">Veliko podjetij </w:t>
      </w:r>
      <w:r w:rsidR="6E912D4D">
        <w:t>spremembam</w:t>
      </w:r>
      <w:r w:rsidR="170064F2">
        <w:t xml:space="preserve"> </w:t>
      </w:r>
      <w:r w:rsidR="6E912D4D">
        <w:t>nasprotuje</w:t>
      </w:r>
      <w:r w:rsidR="000925B4">
        <w:t xml:space="preserve">, saj bi te </w:t>
      </w:r>
      <w:r w:rsidR="587F8D2B">
        <w:t xml:space="preserve">povzročile </w:t>
      </w:r>
      <w:r w:rsidR="000925B4">
        <w:t xml:space="preserve">nestabilnost v dobavnih verigah in </w:t>
      </w:r>
      <w:r w:rsidR="3D7F2298">
        <w:t xml:space="preserve">ogrozile </w:t>
      </w:r>
      <w:r w:rsidR="21CD577D">
        <w:t>obstoječe naložbe v</w:t>
      </w:r>
      <w:r w:rsidR="725E26B3">
        <w:t xml:space="preserve"> </w:t>
      </w:r>
      <w:r w:rsidR="000925B4">
        <w:t xml:space="preserve">skladnost z uredbo. </w:t>
      </w:r>
      <w:r w:rsidR="0EF30FEB">
        <w:t>Podjetja</w:t>
      </w:r>
      <w:r w:rsidR="006471D4">
        <w:t xml:space="preserve"> </w:t>
      </w:r>
      <w:r w:rsidR="0EF30FEB">
        <w:t>pozivajo k ohranitvi v njeni prvotni obliki.</w:t>
      </w:r>
      <w:r w:rsidR="000925B4">
        <w:rPr>
          <w:rStyle w:val="Sprotnaopomba-sklic"/>
        </w:rPr>
        <w:footnoteReference w:id="3"/>
      </w:r>
      <w:r w:rsidR="006471D4">
        <w:rPr>
          <w:rStyle w:val="Sprotnaopomba-sklic"/>
        </w:rPr>
        <w:t xml:space="preserve"> </w:t>
      </w:r>
    </w:p>
    <w:p w14:paraId="7D851E77" w14:textId="77777777" w:rsidR="006471D4" w:rsidRDefault="006471D4"/>
    <w:p w14:paraId="66DB27E5" w14:textId="547BB83E" w:rsidR="006471D4" w:rsidRDefault="095D4AF7">
      <w:r>
        <w:t>V</w:t>
      </w:r>
      <w:r w:rsidR="580A2BC0">
        <w:t xml:space="preserve"> prilogi</w:t>
      </w:r>
      <w:r w:rsidR="00162DD4">
        <w:t xml:space="preserve"> pošiljamo poročilo (v angleščini</w:t>
      </w:r>
      <w:r w:rsidR="4031FAD5">
        <w:t>) z analizo sprememb,</w:t>
      </w:r>
      <w:r w:rsidR="00162DD4">
        <w:t xml:space="preserve"> </w:t>
      </w:r>
      <w:r w:rsidR="5C0BEE55">
        <w:t>sprejetih</w:t>
      </w:r>
      <w:r w:rsidR="00162DD4">
        <w:t xml:space="preserve"> na zasedanju Evropskega parlamenta </w:t>
      </w:r>
      <w:r w:rsidR="006471D4">
        <w:t xml:space="preserve">o </w:t>
      </w:r>
      <w:r w:rsidR="00162DD4">
        <w:t xml:space="preserve">predlogu Komisije z dne 2. oktobra 2024 za preložitev datuma začetka uporabe Uredbe (EU) 2023/115 (EUDR). Poročilo pokaže, da imajo </w:t>
      </w:r>
      <w:r w:rsidR="210FD39F">
        <w:t>predlagane spremembe</w:t>
      </w:r>
      <w:r w:rsidR="00162DD4">
        <w:t xml:space="preserve"> nesprejemljive škodljive učinke na vsebino in cilje </w:t>
      </w:r>
      <w:r w:rsidR="210FD39F">
        <w:t>EUDR</w:t>
      </w:r>
      <w:r w:rsidR="00162DD4">
        <w:t xml:space="preserve">, poleg tega pa odpirajo resna vprašanja združljivosti s pravom </w:t>
      </w:r>
      <w:r w:rsidR="006471D4">
        <w:t>WTO</w:t>
      </w:r>
      <w:r w:rsidR="00162DD4">
        <w:t xml:space="preserve"> in načelom nediskriminacije.</w:t>
      </w:r>
    </w:p>
    <w:p w14:paraId="5DF77F04" w14:textId="582A1E3B" w:rsidR="210FD39F" w:rsidRDefault="4F03909C">
      <w:r w:rsidRPr="00A70CCD">
        <w:rPr>
          <w:b/>
          <w:bCs/>
        </w:rPr>
        <w:lastRenderedPageBreak/>
        <w:t xml:space="preserve">Ko </w:t>
      </w:r>
      <w:r w:rsidR="5AB19708" w:rsidRPr="00A70CCD">
        <w:rPr>
          <w:b/>
          <w:bCs/>
        </w:rPr>
        <w:t xml:space="preserve">predstavnike </w:t>
      </w:r>
      <w:r w:rsidR="4896828A" w:rsidRPr="00A70CCD">
        <w:rPr>
          <w:b/>
          <w:bCs/>
        </w:rPr>
        <w:t xml:space="preserve">RS in odločevalce, vas </w:t>
      </w:r>
      <w:r w:rsidR="452F4537" w:rsidRPr="00A70CCD">
        <w:rPr>
          <w:b/>
          <w:bCs/>
        </w:rPr>
        <w:t>pozivamo</w:t>
      </w:r>
      <w:r w:rsidR="087E0E8A" w:rsidRPr="00A70CCD">
        <w:rPr>
          <w:b/>
          <w:bCs/>
        </w:rPr>
        <w:t xml:space="preserve"> k odločnemu ukrepanju in zavrnitvi škodljivih sprememb EUDR</w:t>
      </w:r>
      <w:r w:rsidR="087E0E8A">
        <w:t>. Poskrbeti moramo</w:t>
      </w:r>
      <w:r w:rsidR="1822C4A0">
        <w:t xml:space="preserve">, da bo </w:t>
      </w:r>
      <w:r w:rsidR="2BAB40A9">
        <w:t>EUDR izpolnila svoje</w:t>
      </w:r>
      <w:r w:rsidR="23089124">
        <w:t xml:space="preserve"> cilje in </w:t>
      </w:r>
      <w:r w:rsidR="2E58F138">
        <w:t xml:space="preserve">zaščitila gozdove, </w:t>
      </w:r>
      <w:r w:rsidR="3C21C56C">
        <w:t xml:space="preserve">biotsko </w:t>
      </w:r>
      <w:r w:rsidR="21E59FAB">
        <w:t xml:space="preserve">raznovrstnost ter </w:t>
      </w:r>
      <w:r w:rsidR="2A6334C2">
        <w:t>podnebje</w:t>
      </w:r>
      <w:r w:rsidR="4BDD9CD8">
        <w:t xml:space="preserve"> in s tem prispevala k bolj trajnostni </w:t>
      </w:r>
      <w:r w:rsidR="250352DB">
        <w:t>prihodnosti.</w:t>
      </w:r>
    </w:p>
    <w:p w14:paraId="2E36FB9E" w14:textId="5AF9FB50" w:rsidR="00A70CCD" w:rsidRDefault="00CC5479" w:rsidP="250352DB">
      <w:r>
        <w:rPr>
          <w:noProof/>
        </w:rPr>
        <w:drawing>
          <wp:anchor distT="0" distB="0" distL="114300" distR="114300" simplePos="0" relativeHeight="251658240" behindDoc="1" locked="0" layoutInCell="1" allowOverlap="1" wp14:anchorId="0B9FB4AB" wp14:editId="3FABEA4E">
            <wp:simplePos x="0" y="0"/>
            <wp:positionH relativeFrom="column">
              <wp:posOffset>-114300</wp:posOffset>
            </wp:positionH>
            <wp:positionV relativeFrom="paragraph">
              <wp:posOffset>299085</wp:posOffset>
            </wp:positionV>
            <wp:extent cx="1715122" cy="588492"/>
            <wp:effectExtent l="0" t="0" r="0" b="2540"/>
            <wp:wrapNone/>
            <wp:docPr id="829088657" name="Slika 1" descr="Slika, ki vsebuje besede tema, črna, noč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88657" name="Slika 1" descr="Slika, ki vsebuje besede tema, črna, noč&#10;&#10;Opis je samodejno ustvarje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22" cy="588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52032" w14:textId="54ABB98B" w:rsidR="00A70CCD" w:rsidRDefault="10878CD5" w:rsidP="250352DB">
      <w:r>
        <w:t>Nina Tome</w:t>
      </w:r>
    </w:p>
    <w:p w14:paraId="12A6B131" w14:textId="5AB4F702" w:rsidR="10878CD5" w:rsidRDefault="65F55CCA" w:rsidP="10878CD5">
      <w:r>
        <w:t>v</w:t>
      </w:r>
      <w:r w:rsidR="1A058F40">
        <w:t xml:space="preserve"> imenu </w:t>
      </w:r>
      <w:proofErr w:type="spellStart"/>
      <w:r w:rsidR="0601E66B">
        <w:t>okoljske</w:t>
      </w:r>
      <w:proofErr w:type="spellEnd"/>
      <w:r w:rsidR="1A058F40">
        <w:t xml:space="preserve"> organizacije </w:t>
      </w:r>
      <w:proofErr w:type="spellStart"/>
      <w:r w:rsidR="1A058F40">
        <w:t>Focus</w:t>
      </w:r>
      <w:proofErr w:type="spellEnd"/>
    </w:p>
    <w:p w14:paraId="489D61E0" w14:textId="3B43BFA7" w:rsidR="712FCC3E" w:rsidRDefault="712FCC3E"/>
    <w:p w14:paraId="05E85F5B" w14:textId="2AC53112" w:rsidR="00C42A05" w:rsidRDefault="00C42A05" w:rsidP="00C42A05"/>
    <w:p w14:paraId="0CCFBA56" w14:textId="743A82FA" w:rsidR="00C42A05" w:rsidRDefault="00C42A05" w:rsidP="00C42A05"/>
    <w:p w14:paraId="03C48C8B" w14:textId="32385EDC" w:rsidR="007363DD" w:rsidRPr="00574B21" w:rsidRDefault="007363DD">
      <w:pPr>
        <w:tabs>
          <w:tab w:val="left" w:pos="3348"/>
        </w:tabs>
        <w:rPr>
          <w:lang w:val="de-DE"/>
        </w:rPr>
      </w:pPr>
    </w:p>
    <w:sectPr w:rsidR="007363DD" w:rsidRPr="00574B21"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FA7EB" w14:textId="77777777" w:rsidR="00FF5864" w:rsidRDefault="00FF5864">
      <w:pPr>
        <w:spacing w:after="0" w:line="240" w:lineRule="auto"/>
      </w:pPr>
      <w:r>
        <w:separator/>
      </w:r>
    </w:p>
  </w:endnote>
  <w:endnote w:type="continuationSeparator" w:id="0">
    <w:p w14:paraId="60AE1E5B" w14:textId="77777777" w:rsidR="00FF5864" w:rsidRDefault="00FF5864">
      <w:pPr>
        <w:spacing w:after="0" w:line="240" w:lineRule="auto"/>
      </w:pPr>
      <w:r>
        <w:continuationSeparator/>
      </w:r>
    </w:p>
  </w:endnote>
  <w:endnote w:type="continuationNotice" w:id="1">
    <w:p w14:paraId="3CFD1618" w14:textId="77777777" w:rsidR="00FF5864" w:rsidRDefault="00FF5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4B57" w14:textId="4C2CA9DD" w:rsidR="00574B21" w:rsidRDefault="00574B21" w:rsidP="00574B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B274271" w14:textId="77777777" w:rsidR="00574B21" w:rsidRDefault="00574B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00E0C" w14:textId="77777777" w:rsidR="00FF5864" w:rsidRDefault="00FF5864">
      <w:pPr>
        <w:spacing w:after="0" w:line="240" w:lineRule="auto"/>
      </w:pPr>
      <w:r>
        <w:separator/>
      </w:r>
    </w:p>
  </w:footnote>
  <w:footnote w:type="continuationSeparator" w:id="0">
    <w:p w14:paraId="7A1E8D43" w14:textId="77777777" w:rsidR="00FF5864" w:rsidRDefault="00FF5864">
      <w:pPr>
        <w:spacing w:after="0" w:line="240" w:lineRule="auto"/>
      </w:pPr>
      <w:r>
        <w:continuationSeparator/>
      </w:r>
    </w:p>
  </w:footnote>
  <w:footnote w:type="continuationNotice" w:id="1">
    <w:p w14:paraId="7FB06D12" w14:textId="77777777" w:rsidR="00FF5864" w:rsidRDefault="00FF5864">
      <w:pPr>
        <w:spacing w:after="0" w:line="240" w:lineRule="auto"/>
      </w:pPr>
    </w:p>
  </w:footnote>
  <w:footnote w:id="2">
    <w:p w14:paraId="2AD237EC" w14:textId="77777777" w:rsidR="000B5FD8" w:rsidRPr="00721CCD" w:rsidRDefault="000B5FD8" w:rsidP="000B5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20"/>
        </w:rPr>
      </w:pPr>
      <w:r w:rsidRPr="00721CCD">
        <w:rPr>
          <w:sz w:val="20"/>
          <w:vertAlign w:val="superscript"/>
        </w:rPr>
        <w:footnoteRef/>
      </w:r>
      <w:r w:rsidRPr="00721CCD">
        <w:rPr>
          <w:color w:val="000000"/>
          <w:sz w:val="18"/>
          <w:szCs w:val="20"/>
        </w:rPr>
        <w:t xml:space="preserve">Uradni list Evropske unije. </w:t>
      </w:r>
      <w:r w:rsidRPr="00721CCD">
        <w:rPr>
          <w:i/>
          <w:color w:val="000000"/>
          <w:sz w:val="18"/>
          <w:szCs w:val="20"/>
        </w:rPr>
        <w:t>Uredba (EU) 2023/1115 Evropskega parlamenta in Sveta z dne 31. maja 2023 o omogočanju dostopnosti nekaterih primarnih in drugih proizvodov, povezanih s krčenjem in degradacijo gozdov, na trgu Unije in njihovem izvozu iz Unije ter o razveljavitvi Uredbe (EU) št. 995/2010</w:t>
      </w:r>
      <w:r w:rsidRPr="00721CCD">
        <w:rPr>
          <w:color w:val="000000"/>
          <w:sz w:val="18"/>
          <w:szCs w:val="20"/>
        </w:rPr>
        <w:t>. EUR-</w:t>
      </w:r>
      <w:proofErr w:type="spellStart"/>
      <w:r w:rsidRPr="00721CCD">
        <w:rPr>
          <w:color w:val="000000"/>
          <w:sz w:val="18"/>
          <w:szCs w:val="20"/>
        </w:rPr>
        <w:t>Lex</w:t>
      </w:r>
      <w:proofErr w:type="spellEnd"/>
      <w:r w:rsidRPr="00721CCD">
        <w:rPr>
          <w:color w:val="000000"/>
          <w:sz w:val="18"/>
          <w:szCs w:val="20"/>
        </w:rPr>
        <w:t xml:space="preserve">, 2023. </w:t>
      </w:r>
      <w:hyperlink r:id="rId1">
        <w:r w:rsidRPr="00721CCD">
          <w:rPr>
            <w:color w:val="0563C1"/>
            <w:sz w:val="18"/>
            <w:szCs w:val="20"/>
            <w:u w:val="single"/>
          </w:rPr>
          <w:t>https://eur-lex.europa.eu/legal-content/SL/TXT/?uri=OJ:L:2023:150:TOC</w:t>
        </w:r>
      </w:hyperlink>
      <w:r w:rsidRPr="00721CCD">
        <w:rPr>
          <w:color w:val="000000"/>
          <w:sz w:val="18"/>
          <w:szCs w:val="20"/>
        </w:rPr>
        <w:t>.</w:t>
      </w:r>
    </w:p>
  </w:footnote>
  <w:footnote w:id="3">
    <w:p w14:paraId="26C0E1C9" w14:textId="77777777" w:rsidR="000925B4" w:rsidRPr="00CC5479" w:rsidRDefault="000925B4" w:rsidP="000925B4">
      <w:pPr>
        <w:spacing w:after="0"/>
        <w:rPr>
          <w:sz w:val="18"/>
          <w:szCs w:val="18"/>
        </w:rPr>
      </w:pPr>
      <w:r w:rsidRPr="00CC5479">
        <w:rPr>
          <w:rStyle w:val="Sprotnaopomba-sklic"/>
          <w:sz w:val="18"/>
          <w:szCs w:val="18"/>
        </w:rPr>
        <w:footnoteRef/>
      </w:r>
      <w:r w:rsidRPr="00CC5479">
        <w:rPr>
          <w:sz w:val="18"/>
          <w:szCs w:val="18"/>
        </w:rPr>
        <w:t xml:space="preserve"> </w:t>
      </w:r>
      <w:r w:rsidRPr="00CC5479">
        <w:rPr>
          <w:sz w:val="18"/>
          <w:szCs w:val="18"/>
        </w:rPr>
        <w:t xml:space="preserve">Javna pisma </w:t>
      </w:r>
      <w:hyperlink r:id="rId2" w:history="1">
        <w:proofErr w:type="spellStart"/>
        <w:r w:rsidRPr="00CC5479">
          <w:rPr>
            <w:rStyle w:val="Hiperpovezava"/>
            <w:sz w:val="18"/>
            <w:szCs w:val="18"/>
          </w:rPr>
          <w:t>Nestlé</w:t>
        </w:r>
        <w:proofErr w:type="spellEnd"/>
      </w:hyperlink>
      <w:r w:rsidRPr="00CC5479">
        <w:rPr>
          <w:sz w:val="18"/>
          <w:szCs w:val="18"/>
        </w:rPr>
        <w:t xml:space="preserve">, </w:t>
      </w:r>
      <w:hyperlink r:id="rId3" w:history="1">
        <w:proofErr w:type="spellStart"/>
        <w:r w:rsidRPr="00CC5479">
          <w:rPr>
            <w:rStyle w:val="Hiperpovezava"/>
            <w:sz w:val="18"/>
            <w:szCs w:val="18"/>
          </w:rPr>
          <w:t>Ferrero</w:t>
        </w:r>
        <w:proofErr w:type="spellEnd"/>
      </w:hyperlink>
      <w:r w:rsidRPr="00CC5479">
        <w:rPr>
          <w:sz w:val="18"/>
          <w:szCs w:val="18"/>
        </w:rPr>
        <w:t xml:space="preserve">, </w:t>
      </w:r>
      <w:hyperlink r:id="rId4" w:history="1">
        <w:r w:rsidRPr="00CC5479">
          <w:rPr>
            <w:rStyle w:val="Hiperpovezava"/>
            <w:sz w:val="18"/>
            <w:szCs w:val="18"/>
          </w:rPr>
          <w:t>Danone</w:t>
        </w:r>
      </w:hyperlink>
      <w:r w:rsidRPr="00CC5479">
        <w:rPr>
          <w:sz w:val="18"/>
          <w:szCs w:val="18"/>
        </w:rPr>
        <w:t xml:space="preserve">, </w:t>
      </w:r>
      <w:hyperlink r:id="rId5" w:history="1">
        <w:proofErr w:type="spellStart"/>
        <w:r w:rsidRPr="00CC5479">
          <w:rPr>
            <w:rStyle w:val="Hiperpovezava"/>
            <w:sz w:val="18"/>
            <w:szCs w:val="18"/>
          </w:rPr>
          <w:t>Michelin</w:t>
        </w:r>
        <w:proofErr w:type="spellEnd"/>
      </w:hyperlink>
      <w:r w:rsidRPr="00CC5479">
        <w:rPr>
          <w:sz w:val="18"/>
          <w:szCs w:val="18"/>
        </w:rPr>
        <w:t xml:space="preserve">, </w:t>
      </w:r>
      <w:hyperlink r:id="rId6" w:history="1">
        <w:proofErr w:type="spellStart"/>
        <w:r w:rsidRPr="00CC5479">
          <w:rPr>
            <w:rStyle w:val="Hiperpovezava"/>
            <w:sz w:val="18"/>
            <w:szCs w:val="18"/>
          </w:rPr>
          <w:t>Carrefour</w:t>
        </w:r>
        <w:proofErr w:type="spellEnd"/>
      </w:hyperlink>
      <w:r w:rsidRPr="00CC5479">
        <w:rPr>
          <w:sz w:val="18"/>
          <w:szCs w:val="18"/>
        </w:rPr>
        <w:t xml:space="preserve">, trgovca s kavo in sojo </w:t>
      </w:r>
      <w:hyperlink r:id="rId7" w:history="1">
        <w:proofErr w:type="spellStart"/>
        <w:r w:rsidRPr="00CC5479">
          <w:rPr>
            <w:rStyle w:val="Hiperpovezava"/>
            <w:sz w:val="18"/>
            <w:szCs w:val="18"/>
          </w:rPr>
          <w:t>ETG</w:t>
        </w:r>
        <w:proofErr w:type="spellEnd"/>
      </w:hyperlink>
      <w:r w:rsidRPr="00CC5479">
        <w:rPr>
          <w:sz w:val="18"/>
          <w:szCs w:val="18"/>
        </w:rPr>
        <w:t xml:space="preserve">, vodilnega svetovnega proizvajalca furnirja in lesa </w:t>
      </w:r>
      <w:hyperlink r:id="rId8" w:history="1">
        <w:proofErr w:type="spellStart"/>
        <w:r w:rsidRPr="00CC5479">
          <w:rPr>
            <w:rStyle w:val="Hiperpovezava"/>
            <w:sz w:val="18"/>
            <w:szCs w:val="18"/>
          </w:rPr>
          <w:t>Danzer</w:t>
        </w:r>
        <w:proofErr w:type="spellEnd"/>
      </w:hyperlink>
      <w:r w:rsidRPr="00CC5479">
        <w:rPr>
          <w:sz w:val="18"/>
          <w:szCs w:val="18"/>
        </w:rPr>
        <w:t xml:space="preserve"> francoskega združenja govedorejcev </w:t>
      </w:r>
      <w:hyperlink r:id="rId9" w:history="1">
        <w:proofErr w:type="spellStart"/>
        <w:r w:rsidRPr="00CC5479">
          <w:rPr>
            <w:rStyle w:val="Hiperpovezava"/>
            <w:sz w:val="18"/>
            <w:szCs w:val="18"/>
          </w:rPr>
          <w:t>INTERBEV</w:t>
        </w:r>
        <w:proofErr w:type="spellEnd"/>
        <w:r w:rsidRPr="00CC5479">
          <w:rPr>
            <w:rStyle w:val="Hiperpovezava"/>
            <w:sz w:val="18"/>
            <w:szCs w:val="18"/>
          </w:rPr>
          <w:t>,</w:t>
        </w:r>
      </w:hyperlink>
      <w:r w:rsidRPr="00CC5479">
        <w:rPr>
          <w:sz w:val="18"/>
          <w:szCs w:val="18"/>
        </w:rPr>
        <w:t xml:space="preserve"> certifikacijske sheme </w:t>
      </w:r>
      <w:hyperlink r:id="rId10" w:history="1">
        <w:proofErr w:type="spellStart"/>
        <w:r w:rsidRPr="00CC5479">
          <w:rPr>
            <w:rStyle w:val="Hiperpovezava"/>
            <w:sz w:val="18"/>
            <w:szCs w:val="18"/>
          </w:rPr>
          <w:t>FSC</w:t>
        </w:r>
        <w:proofErr w:type="spellEnd"/>
      </w:hyperlink>
      <w:r w:rsidRPr="00CC5479">
        <w:rPr>
          <w:sz w:val="18"/>
          <w:szCs w:val="18"/>
        </w:rPr>
        <w:t xml:space="preserve">, člani </w:t>
      </w:r>
      <w:hyperlink r:id="rId11" w:history="1">
        <w:r w:rsidRPr="00CC5479">
          <w:rPr>
            <w:rStyle w:val="Hiperpovezava"/>
            <w:sz w:val="18"/>
            <w:szCs w:val="18"/>
          </w:rPr>
          <w:t xml:space="preserve">Global Platform </w:t>
        </w:r>
        <w:proofErr w:type="spellStart"/>
        <w:r w:rsidRPr="00CC5479">
          <w:rPr>
            <w:rStyle w:val="Hiperpovezava"/>
            <w:sz w:val="18"/>
            <w:szCs w:val="18"/>
          </w:rPr>
          <w:t>for</w:t>
        </w:r>
        <w:proofErr w:type="spellEnd"/>
        <w:r w:rsidRPr="00CC5479">
          <w:rPr>
            <w:rStyle w:val="Hiperpovezava"/>
            <w:sz w:val="18"/>
            <w:szCs w:val="18"/>
          </w:rPr>
          <w:t xml:space="preserve"> </w:t>
        </w:r>
        <w:proofErr w:type="spellStart"/>
        <w:r w:rsidRPr="00CC5479">
          <w:rPr>
            <w:rStyle w:val="Hiperpovezava"/>
            <w:sz w:val="18"/>
            <w:szCs w:val="18"/>
          </w:rPr>
          <w:t>Sustainable</w:t>
        </w:r>
        <w:proofErr w:type="spellEnd"/>
        <w:r w:rsidRPr="00CC5479">
          <w:rPr>
            <w:rStyle w:val="Hiperpovezava"/>
            <w:sz w:val="18"/>
            <w:szCs w:val="18"/>
          </w:rPr>
          <w:t xml:space="preserve"> </w:t>
        </w:r>
        <w:proofErr w:type="spellStart"/>
        <w:r w:rsidRPr="00CC5479">
          <w:rPr>
            <w:rStyle w:val="Hiperpovezava"/>
            <w:sz w:val="18"/>
            <w:szCs w:val="18"/>
          </w:rPr>
          <w:t>Natural</w:t>
        </w:r>
        <w:proofErr w:type="spellEnd"/>
        <w:r w:rsidRPr="00CC5479">
          <w:rPr>
            <w:rStyle w:val="Hiperpovezava"/>
            <w:sz w:val="18"/>
            <w:szCs w:val="18"/>
          </w:rPr>
          <w:t xml:space="preserve"> </w:t>
        </w:r>
        <w:proofErr w:type="spellStart"/>
        <w:r w:rsidRPr="00CC5479">
          <w:rPr>
            <w:rStyle w:val="Hiperpovezava"/>
            <w:sz w:val="18"/>
            <w:szCs w:val="18"/>
          </w:rPr>
          <w:t>Rubber</w:t>
        </w:r>
        <w:proofErr w:type="spellEnd"/>
      </w:hyperlink>
      <w:r w:rsidRPr="00CC5479">
        <w:rPr>
          <w:sz w:val="18"/>
          <w:szCs w:val="18"/>
        </w:rPr>
        <w:t xml:space="preserve"> (vključno z vodilnim proizvajalcem kavčuka v Afriki </w:t>
      </w:r>
      <w:proofErr w:type="spellStart"/>
      <w:r w:rsidRPr="00CC5479">
        <w:rPr>
          <w:sz w:val="18"/>
          <w:szCs w:val="18"/>
        </w:rPr>
        <w:t>SIPH</w:t>
      </w:r>
      <w:proofErr w:type="spellEnd"/>
      <w:r w:rsidRPr="00CC5479">
        <w:rPr>
          <w:sz w:val="18"/>
          <w:szCs w:val="18"/>
        </w:rPr>
        <w:t xml:space="preserve"> in vodilnim svetovnim trgovcem </w:t>
      </w:r>
      <w:proofErr w:type="spellStart"/>
      <w:r w:rsidRPr="00CC5479">
        <w:rPr>
          <w:sz w:val="18"/>
          <w:szCs w:val="18"/>
        </w:rPr>
        <w:t>Olam</w:t>
      </w:r>
      <w:proofErr w:type="spellEnd"/>
      <w:r w:rsidRPr="00CC5479">
        <w:rPr>
          <w:sz w:val="18"/>
          <w:szCs w:val="18"/>
        </w:rPr>
        <w:t xml:space="preserve"> Agri),</w:t>
      </w:r>
      <w:hyperlink r:id="rId12" w:history="1">
        <w:r w:rsidRPr="00CC5479">
          <w:rPr>
            <w:rStyle w:val="Hiperpovezava"/>
            <w:sz w:val="18"/>
            <w:szCs w:val="18"/>
          </w:rPr>
          <w:t xml:space="preserve"> Albert </w:t>
        </w:r>
        <w:proofErr w:type="spellStart"/>
        <w:r w:rsidRPr="00CC5479">
          <w:rPr>
            <w:rStyle w:val="Hiperpovezava"/>
            <w:sz w:val="18"/>
            <w:szCs w:val="18"/>
          </w:rPr>
          <w:t>Heijn</w:t>
        </w:r>
        <w:proofErr w:type="spellEnd"/>
      </w:hyperlink>
      <w:r w:rsidRPr="00CC5479">
        <w:rPr>
          <w:sz w:val="18"/>
          <w:szCs w:val="18"/>
        </w:rPr>
        <w:t>,</w:t>
      </w:r>
      <w:hyperlink r:id="rId13" w:history="1">
        <w:r w:rsidRPr="00CC5479">
          <w:rPr>
            <w:rStyle w:val="Hiperpovezava"/>
            <w:sz w:val="18"/>
            <w:szCs w:val="18"/>
          </w:rPr>
          <w:t xml:space="preserve"> Lidl</w:t>
        </w:r>
      </w:hyperlink>
      <w:r w:rsidRPr="00CC5479">
        <w:rPr>
          <w:sz w:val="18"/>
          <w:szCs w:val="18"/>
        </w:rPr>
        <w:t xml:space="preserve"> in vodilnega svetovnega proizvajalca čokolade in kakavovih izdelkov</w:t>
      </w:r>
      <w:hyperlink r:id="rId14" w:history="1">
        <w:r w:rsidRPr="00CC5479">
          <w:rPr>
            <w:rStyle w:val="Hiperpovezava"/>
            <w:sz w:val="18"/>
            <w:szCs w:val="18"/>
          </w:rPr>
          <w:t xml:space="preserve"> </w:t>
        </w:r>
        <w:proofErr w:type="spellStart"/>
        <w:r w:rsidRPr="00CC5479">
          <w:rPr>
            <w:rStyle w:val="Hiperpovezava"/>
            <w:sz w:val="18"/>
            <w:szCs w:val="18"/>
          </w:rPr>
          <w:t>Barry</w:t>
        </w:r>
        <w:proofErr w:type="spellEnd"/>
        <w:r w:rsidRPr="00CC5479">
          <w:rPr>
            <w:rStyle w:val="Hiperpovezava"/>
            <w:sz w:val="18"/>
            <w:szCs w:val="18"/>
          </w:rPr>
          <w:t xml:space="preserve"> </w:t>
        </w:r>
        <w:proofErr w:type="spellStart"/>
        <w:r w:rsidRPr="00CC5479">
          <w:rPr>
            <w:rStyle w:val="Hiperpovezava"/>
            <w:sz w:val="18"/>
            <w:szCs w:val="18"/>
          </w:rPr>
          <w:t>Callebaut</w:t>
        </w:r>
        <w:proofErr w:type="spellEnd"/>
      </w:hyperlink>
      <w:r w:rsidRPr="00CC5479">
        <w:rPr>
          <w:sz w:val="18"/>
          <w:szCs w:val="18"/>
        </w:rPr>
        <w:t>.</w:t>
      </w:r>
    </w:p>
    <w:p w14:paraId="1E25AAC5" w14:textId="50A2B63C" w:rsidR="000925B4" w:rsidRDefault="000925B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4C35"/>
    <w:multiLevelType w:val="hybridMultilevel"/>
    <w:tmpl w:val="742AD898"/>
    <w:lvl w:ilvl="0" w:tplc="2D2C37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2590"/>
    <w:multiLevelType w:val="hybridMultilevel"/>
    <w:tmpl w:val="69D8FF72"/>
    <w:lvl w:ilvl="0" w:tplc="2D2C37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01CE0"/>
    <w:multiLevelType w:val="multilevel"/>
    <w:tmpl w:val="009E0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98570745">
    <w:abstractNumId w:val="2"/>
  </w:num>
  <w:num w:numId="2" w16cid:durableId="1613249216">
    <w:abstractNumId w:val="1"/>
  </w:num>
  <w:num w:numId="3" w16cid:durableId="98435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25"/>
    <w:rsid w:val="000218CA"/>
    <w:rsid w:val="00027C69"/>
    <w:rsid w:val="00031706"/>
    <w:rsid w:val="00043F06"/>
    <w:rsid w:val="00053959"/>
    <w:rsid w:val="000925B4"/>
    <w:rsid w:val="00092651"/>
    <w:rsid w:val="00094D35"/>
    <w:rsid w:val="00096025"/>
    <w:rsid w:val="00097F0C"/>
    <w:rsid w:val="000A1330"/>
    <w:rsid w:val="000B5FD8"/>
    <w:rsid w:val="000C3C64"/>
    <w:rsid w:val="000E1D54"/>
    <w:rsid w:val="000E67B6"/>
    <w:rsid w:val="001107D9"/>
    <w:rsid w:val="0011296D"/>
    <w:rsid w:val="00112C08"/>
    <w:rsid w:val="00115ACE"/>
    <w:rsid w:val="0012276C"/>
    <w:rsid w:val="00126393"/>
    <w:rsid w:val="001330C6"/>
    <w:rsid w:val="00145A39"/>
    <w:rsid w:val="00147AA7"/>
    <w:rsid w:val="001526EB"/>
    <w:rsid w:val="00162DD4"/>
    <w:rsid w:val="00164C7D"/>
    <w:rsid w:val="001676BD"/>
    <w:rsid w:val="00171522"/>
    <w:rsid w:val="00185493"/>
    <w:rsid w:val="001860DF"/>
    <w:rsid w:val="001929FD"/>
    <w:rsid w:val="00195703"/>
    <w:rsid w:val="00197DF7"/>
    <w:rsid w:val="001A42A2"/>
    <w:rsid w:val="001A66E2"/>
    <w:rsid w:val="001B79D0"/>
    <w:rsid w:val="001D4C4B"/>
    <w:rsid w:val="001D6E66"/>
    <w:rsid w:val="001F1910"/>
    <w:rsid w:val="00205CA3"/>
    <w:rsid w:val="002133E1"/>
    <w:rsid w:val="00213711"/>
    <w:rsid w:val="00220255"/>
    <w:rsid w:val="002229E1"/>
    <w:rsid w:val="00233888"/>
    <w:rsid w:val="00235102"/>
    <w:rsid w:val="0023517F"/>
    <w:rsid w:val="0023722D"/>
    <w:rsid w:val="00245DF1"/>
    <w:rsid w:val="00253158"/>
    <w:rsid w:val="0025717B"/>
    <w:rsid w:val="00261BF8"/>
    <w:rsid w:val="002633E5"/>
    <w:rsid w:val="002650E0"/>
    <w:rsid w:val="00280618"/>
    <w:rsid w:val="00297EF8"/>
    <w:rsid w:val="002A12D3"/>
    <w:rsid w:val="002A47E4"/>
    <w:rsid w:val="002C2A5F"/>
    <w:rsid w:val="002D1FD8"/>
    <w:rsid w:val="002E4106"/>
    <w:rsid w:val="002F06E2"/>
    <w:rsid w:val="002F501C"/>
    <w:rsid w:val="003048F5"/>
    <w:rsid w:val="00313284"/>
    <w:rsid w:val="003232FA"/>
    <w:rsid w:val="00327704"/>
    <w:rsid w:val="00342005"/>
    <w:rsid w:val="003505DA"/>
    <w:rsid w:val="003520AB"/>
    <w:rsid w:val="00352D31"/>
    <w:rsid w:val="00360265"/>
    <w:rsid w:val="00364067"/>
    <w:rsid w:val="00374D41"/>
    <w:rsid w:val="003879A5"/>
    <w:rsid w:val="003941F0"/>
    <w:rsid w:val="00394C69"/>
    <w:rsid w:val="003A09F1"/>
    <w:rsid w:val="003B662D"/>
    <w:rsid w:val="003C20FE"/>
    <w:rsid w:val="003C37E2"/>
    <w:rsid w:val="003C57F6"/>
    <w:rsid w:val="003D12F3"/>
    <w:rsid w:val="003D2264"/>
    <w:rsid w:val="003F1889"/>
    <w:rsid w:val="003F4AD0"/>
    <w:rsid w:val="004052F1"/>
    <w:rsid w:val="00427777"/>
    <w:rsid w:val="00437DF4"/>
    <w:rsid w:val="00441451"/>
    <w:rsid w:val="0045066E"/>
    <w:rsid w:val="004560C2"/>
    <w:rsid w:val="004638D8"/>
    <w:rsid w:val="00475624"/>
    <w:rsid w:val="004806AE"/>
    <w:rsid w:val="00482FA0"/>
    <w:rsid w:val="004839BF"/>
    <w:rsid w:val="0048424D"/>
    <w:rsid w:val="004876A2"/>
    <w:rsid w:val="004A0BA3"/>
    <w:rsid w:val="004A166A"/>
    <w:rsid w:val="004B6298"/>
    <w:rsid w:val="004C0825"/>
    <w:rsid w:val="004D3130"/>
    <w:rsid w:val="004D3532"/>
    <w:rsid w:val="004D3D72"/>
    <w:rsid w:val="004E12E5"/>
    <w:rsid w:val="00501BBF"/>
    <w:rsid w:val="00501F38"/>
    <w:rsid w:val="00513482"/>
    <w:rsid w:val="00514989"/>
    <w:rsid w:val="00515869"/>
    <w:rsid w:val="00524729"/>
    <w:rsid w:val="00536B52"/>
    <w:rsid w:val="005401D5"/>
    <w:rsid w:val="00551565"/>
    <w:rsid w:val="0055462E"/>
    <w:rsid w:val="00574B21"/>
    <w:rsid w:val="00576E07"/>
    <w:rsid w:val="005825E8"/>
    <w:rsid w:val="00586204"/>
    <w:rsid w:val="00586660"/>
    <w:rsid w:val="00597F51"/>
    <w:rsid w:val="005B7C16"/>
    <w:rsid w:val="005C2E4F"/>
    <w:rsid w:val="005C4A39"/>
    <w:rsid w:val="005D27A9"/>
    <w:rsid w:val="005E07B7"/>
    <w:rsid w:val="005E2C11"/>
    <w:rsid w:val="005F252F"/>
    <w:rsid w:val="005F75EB"/>
    <w:rsid w:val="00600C06"/>
    <w:rsid w:val="0060415A"/>
    <w:rsid w:val="0061521B"/>
    <w:rsid w:val="00615A1D"/>
    <w:rsid w:val="00636BAE"/>
    <w:rsid w:val="006423DB"/>
    <w:rsid w:val="006471D4"/>
    <w:rsid w:val="00650A52"/>
    <w:rsid w:val="006537FB"/>
    <w:rsid w:val="00662DA5"/>
    <w:rsid w:val="006634A7"/>
    <w:rsid w:val="00666A49"/>
    <w:rsid w:val="00666FF0"/>
    <w:rsid w:val="00677748"/>
    <w:rsid w:val="006905D0"/>
    <w:rsid w:val="006A3336"/>
    <w:rsid w:val="006E0052"/>
    <w:rsid w:val="006E5D79"/>
    <w:rsid w:val="006F12C5"/>
    <w:rsid w:val="006F5069"/>
    <w:rsid w:val="006F5910"/>
    <w:rsid w:val="00702F50"/>
    <w:rsid w:val="00702FB3"/>
    <w:rsid w:val="007053BC"/>
    <w:rsid w:val="007101AF"/>
    <w:rsid w:val="00710846"/>
    <w:rsid w:val="007119FE"/>
    <w:rsid w:val="007151C8"/>
    <w:rsid w:val="007217B6"/>
    <w:rsid w:val="00721CCD"/>
    <w:rsid w:val="0072289E"/>
    <w:rsid w:val="00725977"/>
    <w:rsid w:val="007363DD"/>
    <w:rsid w:val="00742A7F"/>
    <w:rsid w:val="007450AD"/>
    <w:rsid w:val="00747D5E"/>
    <w:rsid w:val="0076281A"/>
    <w:rsid w:val="0076358D"/>
    <w:rsid w:val="00771F54"/>
    <w:rsid w:val="0077377A"/>
    <w:rsid w:val="00795DA2"/>
    <w:rsid w:val="007A0ED7"/>
    <w:rsid w:val="007A3B5B"/>
    <w:rsid w:val="007B0CDB"/>
    <w:rsid w:val="007C09FC"/>
    <w:rsid w:val="007D4507"/>
    <w:rsid w:val="007E023B"/>
    <w:rsid w:val="007E18ED"/>
    <w:rsid w:val="007E211C"/>
    <w:rsid w:val="007F4FC9"/>
    <w:rsid w:val="007F5364"/>
    <w:rsid w:val="007F5777"/>
    <w:rsid w:val="007F623F"/>
    <w:rsid w:val="0080065B"/>
    <w:rsid w:val="008048AA"/>
    <w:rsid w:val="00807FA6"/>
    <w:rsid w:val="00822FC7"/>
    <w:rsid w:val="008504E9"/>
    <w:rsid w:val="0087294E"/>
    <w:rsid w:val="00872DEE"/>
    <w:rsid w:val="008739B1"/>
    <w:rsid w:val="00885242"/>
    <w:rsid w:val="008867E7"/>
    <w:rsid w:val="00894670"/>
    <w:rsid w:val="008E79A9"/>
    <w:rsid w:val="008F0C22"/>
    <w:rsid w:val="008F1B1A"/>
    <w:rsid w:val="008F4F34"/>
    <w:rsid w:val="008F50CF"/>
    <w:rsid w:val="00902622"/>
    <w:rsid w:val="00910815"/>
    <w:rsid w:val="00912E09"/>
    <w:rsid w:val="00935CC0"/>
    <w:rsid w:val="0093722F"/>
    <w:rsid w:val="00964AE3"/>
    <w:rsid w:val="00973349"/>
    <w:rsid w:val="009826D4"/>
    <w:rsid w:val="00983487"/>
    <w:rsid w:val="0099038C"/>
    <w:rsid w:val="009A1F80"/>
    <w:rsid w:val="009D297B"/>
    <w:rsid w:val="009E3D86"/>
    <w:rsid w:val="009E42CF"/>
    <w:rsid w:val="009F7846"/>
    <w:rsid w:val="00A01B02"/>
    <w:rsid w:val="00A01D86"/>
    <w:rsid w:val="00A041FF"/>
    <w:rsid w:val="00A05302"/>
    <w:rsid w:val="00A12418"/>
    <w:rsid w:val="00A153B3"/>
    <w:rsid w:val="00A254CA"/>
    <w:rsid w:val="00A25FF7"/>
    <w:rsid w:val="00A30A41"/>
    <w:rsid w:val="00A34E0C"/>
    <w:rsid w:val="00A37D87"/>
    <w:rsid w:val="00A45AF3"/>
    <w:rsid w:val="00A5661B"/>
    <w:rsid w:val="00A64F9A"/>
    <w:rsid w:val="00A6502A"/>
    <w:rsid w:val="00A67000"/>
    <w:rsid w:val="00A70CCD"/>
    <w:rsid w:val="00A77C4D"/>
    <w:rsid w:val="00A77FA6"/>
    <w:rsid w:val="00AA50DC"/>
    <w:rsid w:val="00AB27FC"/>
    <w:rsid w:val="00AB4149"/>
    <w:rsid w:val="00AC0A47"/>
    <w:rsid w:val="00AC15BD"/>
    <w:rsid w:val="00AD583A"/>
    <w:rsid w:val="00AD6CC8"/>
    <w:rsid w:val="00AF2312"/>
    <w:rsid w:val="00AF2A3F"/>
    <w:rsid w:val="00AF38D7"/>
    <w:rsid w:val="00B46B3A"/>
    <w:rsid w:val="00B50BEB"/>
    <w:rsid w:val="00B52D14"/>
    <w:rsid w:val="00B53F1D"/>
    <w:rsid w:val="00B55624"/>
    <w:rsid w:val="00B61D52"/>
    <w:rsid w:val="00B70186"/>
    <w:rsid w:val="00B73307"/>
    <w:rsid w:val="00B73BBE"/>
    <w:rsid w:val="00B75B57"/>
    <w:rsid w:val="00B81A70"/>
    <w:rsid w:val="00B943E1"/>
    <w:rsid w:val="00B9631A"/>
    <w:rsid w:val="00B96C25"/>
    <w:rsid w:val="00B96F60"/>
    <w:rsid w:val="00BA5C7B"/>
    <w:rsid w:val="00BB1619"/>
    <w:rsid w:val="00BB2CB4"/>
    <w:rsid w:val="00BB4F3E"/>
    <w:rsid w:val="00BC1967"/>
    <w:rsid w:val="00BC3186"/>
    <w:rsid w:val="00BC36F0"/>
    <w:rsid w:val="00BC7BFD"/>
    <w:rsid w:val="00C17BD3"/>
    <w:rsid w:val="00C17E7B"/>
    <w:rsid w:val="00C3564B"/>
    <w:rsid w:val="00C35C77"/>
    <w:rsid w:val="00C40BCB"/>
    <w:rsid w:val="00C42A05"/>
    <w:rsid w:val="00C50E08"/>
    <w:rsid w:val="00C521A6"/>
    <w:rsid w:val="00C73630"/>
    <w:rsid w:val="00C76B57"/>
    <w:rsid w:val="00C86A69"/>
    <w:rsid w:val="00C954FF"/>
    <w:rsid w:val="00CA59B4"/>
    <w:rsid w:val="00CB70F8"/>
    <w:rsid w:val="00CC00FD"/>
    <w:rsid w:val="00CC5479"/>
    <w:rsid w:val="00CC5E9B"/>
    <w:rsid w:val="00CE4782"/>
    <w:rsid w:val="00CF2B99"/>
    <w:rsid w:val="00CF73D9"/>
    <w:rsid w:val="00D12557"/>
    <w:rsid w:val="00D147F4"/>
    <w:rsid w:val="00D25C7F"/>
    <w:rsid w:val="00D32A93"/>
    <w:rsid w:val="00D40BF2"/>
    <w:rsid w:val="00D54234"/>
    <w:rsid w:val="00D66AF1"/>
    <w:rsid w:val="00D735D4"/>
    <w:rsid w:val="00D81972"/>
    <w:rsid w:val="00D921A5"/>
    <w:rsid w:val="00D927ED"/>
    <w:rsid w:val="00D96302"/>
    <w:rsid w:val="00D9790E"/>
    <w:rsid w:val="00DA0B9C"/>
    <w:rsid w:val="00DA4570"/>
    <w:rsid w:val="00DA6C7A"/>
    <w:rsid w:val="00DB7B91"/>
    <w:rsid w:val="00DC32FF"/>
    <w:rsid w:val="00DC5CBC"/>
    <w:rsid w:val="00DD4B29"/>
    <w:rsid w:val="00DD631C"/>
    <w:rsid w:val="00DD69CA"/>
    <w:rsid w:val="00DE4CDC"/>
    <w:rsid w:val="00DE5EAE"/>
    <w:rsid w:val="00DF756F"/>
    <w:rsid w:val="00E20CCE"/>
    <w:rsid w:val="00E2390F"/>
    <w:rsid w:val="00E340FD"/>
    <w:rsid w:val="00E34448"/>
    <w:rsid w:val="00E345A4"/>
    <w:rsid w:val="00E5119E"/>
    <w:rsid w:val="00E53425"/>
    <w:rsid w:val="00E55AF7"/>
    <w:rsid w:val="00E56248"/>
    <w:rsid w:val="00E712F8"/>
    <w:rsid w:val="00E97A27"/>
    <w:rsid w:val="00EA0A7D"/>
    <w:rsid w:val="00EA29C9"/>
    <w:rsid w:val="00EB5D01"/>
    <w:rsid w:val="00EB7358"/>
    <w:rsid w:val="00EC2937"/>
    <w:rsid w:val="00EC4BF1"/>
    <w:rsid w:val="00EC61AC"/>
    <w:rsid w:val="00ED2E35"/>
    <w:rsid w:val="00EE6164"/>
    <w:rsid w:val="00F00CF1"/>
    <w:rsid w:val="00F03416"/>
    <w:rsid w:val="00F0525C"/>
    <w:rsid w:val="00F1607B"/>
    <w:rsid w:val="00F20036"/>
    <w:rsid w:val="00F321AF"/>
    <w:rsid w:val="00F35BF1"/>
    <w:rsid w:val="00F53766"/>
    <w:rsid w:val="00F619B3"/>
    <w:rsid w:val="00F64415"/>
    <w:rsid w:val="00F70B3D"/>
    <w:rsid w:val="00F742A9"/>
    <w:rsid w:val="00F815C6"/>
    <w:rsid w:val="00F82A16"/>
    <w:rsid w:val="00F95784"/>
    <w:rsid w:val="00FA67F5"/>
    <w:rsid w:val="00FB45F9"/>
    <w:rsid w:val="00FC2A2B"/>
    <w:rsid w:val="00FD3C2D"/>
    <w:rsid w:val="00FD6EA1"/>
    <w:rsid w:val="00FD7146"/>
    <w:rsid w:val="00FE143D"/>
    <w:rsid w:val="00FE4600"/>
    <w:rsid w:val="00FF45A0"/>
    <w:rsid w:val="00FF5864"/>
    <w:rsid w:val="028FA599"/>
    <w:rsid w:val="0601E66B"/>
    <w:rsid w:val="087E0E8A"/>
    <w:rsid w:val="095D4AF7"/>
    <w:rsid w:val="09F92A2F"/>
    <w:rsid w:val="0EF30FEB"/>
    <w:rsid w:val="10878CD5"/>
    <w:rsid w:val="10957D57"/>
    <w:rsid w:val="11F9152F"/>
    <w:rsid w:val="1322BAC4"/>
    <w:rsid w:val="14A0B554"/>
    <w:rsid w:val="14F5AAD0"/>
    <w:rsid w:val="170064F2"/>
    <w:rsid w:val="1822C4A0"/>
    <w:rsid w:val="1A058F40"/>
    <w:rsid w:val="210FD39F"/>
    <w:rsid w:val="21CD577D"/>
    <w:rsid w:val="21E59FAB"/>
    <w:rsid w:val="23089124"/>
    <w:rsid w:val="250352DB"/>
    <w:rsid w:val="26132D15"/>
    <w:rsid w:val="2A6334C2"/>
    <w:rsid w:val="2B6C90F2"/>
    <w:rsid w:val="2BAB40A9"/>
    <w:rsid w:val="2C95F7CB"/>
    <w:rsid w:val="2E58F138"/>
    <w:rsid w:val="2F5F557A"/>
    <w:rsid w:val="301A9A2D"/>
    <w:rsid w:val="373A45FA"/>
    <w:rsid w:val="3B349BBD"/>
    <w:rsid w:val="3C21C56C"/>
    <w:rsid w:val="3D1E5D83"/>
    <w:rsid w:val="3D7F2298"/>
    <w:rsid w:val="3E3E5E61"/>
    <w:rsid w:val="3E66E627"/>
    <w:rsid w:val="4031FAD5"/>
    <w:rsid w:val="452F4537"/>
    <w:rsid w:val="4626CBDF"/>
    <w:rsid w:val="48296552"/>
    <w:rsid w:val="4896828A"/>
    <w:rsid w:val="4B10C551"/>
    <w:rsid w:val="4BDD9CD8"/>
    <w:rsid w:val="4C8318AD"/>
    <w:rsid w:val="4F03909C"/>
    <w:rsid w:val="580A2BC0"/>
    <w:rsid w:val="587F8D2B"/>
    <w:rsid w:val="5AB19708"/>
    <w:rsid w:val="5C0BEE55"/>
    <w:rsid w:val="5CD0907B"/>
    <w:rsid w:val="5D6FA895"/>
    <w:rsid w:val="6192E430"/>
    <w:rsid w:val="61DEEBC6"/>
    <w:rsid w:val="65F55CCA"/>
    <w:rsid w:val="6E912D4D"/>
    <w:rsid w:val="712FCC3E"/>
    <w:rsid w:val="725E26B3"/>
    <w:rsid w:val="729DE5A6"/>
    <w:rsid w:val="76DF597C"/>
    <w:rsid w:val="779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4FEE"/>
  <w15:docId w15:val="{D7944A98-D4A6-4916-917D-F551803A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l-SI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ija">
    <w:name w:val="Revision"/>
    <w:hidden/>
    <w:uiPriority w:val="99"/>
    <w:semiHidden/>
    <w:rsid w:val="00822FC7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15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5869"/>
  </w:style>
  <w:style w:type="paragraph" w:styleId="Noga">
    <w:name w:val="footer"/>
    <w:basedOn w:val="Navaden"/>
    <w:link w:val="NogaZnak"/>
    <w:uiPriority w:val="99"/>
    <w:unhideWhenUsed/>
    <w:rsid w:val="00574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4B21"/>
  </w:style>
  <w:style w:type="character" w:styleId="Hiperpovezava">
    <w:name w:val="Hyperlink"/>
    <w:basedOn w:val="Privzetapisavaodstavka"/>
    <w:uiPriority w:val="99"/>
    <w:unhideWhenUsed/>
    <w:rsid w:val="00B50BEB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50BEB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73BB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73BB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73BBE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B73BB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BB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73BB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BB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73BB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3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3BB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62DD4"/>
    <w:pPr>
      <w:spacing w:after="0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55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live/pO6vCUJ50H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zer.com/en/company/media-relations/press-releases/item/danzer-vows-to-stick-to-original-eudr-schedule" TargetMode="External"/><Relationship Id="rId13" Type="http://schemas.openxmlformats.org/officeDocument/2006/relationships/hyperlink" Target="https://info.lidl/en/pdf/show/109935" TargetMode="External"/><Relationship Id="rId3" Type="http://schemas.openxmlformats.org/officeDocument/2006/relationships/hyperlink" Target="https://www.ferrero.com/int/en/people-planet/source-our-ingredients-sustainably/our-sourcing-approach" TargetMode="External"/><Relationship Id="rId7" Type="http://schemas.openxmlformats.org/officeDocument/2006/relationships/hyperlink" Target="https://www.linkedin.com/posts/etg-world_commission-strengthens-support-for-eu-deforestation-activity-7249772637055336449-t_tz/?utm_source=share&amp;utm_medium=member_desktop" TargetMode="External"/><Relationship Id="rId12" Type="http://schemas.openxmlformats.org/officeDocument/2006/relationships/hyperlink" Target="https://www.linkedin.com/feed/update/urn:li:activity:7259491060442099712/" TargetMode="External"/><Relationship Id="rId2" Type="http://schemas.openxmlformats.org/officeDocument/2006/relationships/hyperlink" Target="https://www.linkedin.com/feed/update/urn:li:activity:7252589365334306817/" TargetMode="External"/><Relationship Id="rId1" Type="http://schemas.openxmlformats.org/officeDocument/2006/relationships/hyperlink" Target="https://eur-lex.europa.eu/legal-content/SL/XT/?uri=OJ:L:2023:150:TOC" TargetMode="External"/><Relationship Id="rId6" Type="http://schemas.openxmlformats.org/officeDocument/2006/relationships/hyperlink" Target="https://www.carrefour.com/fr/news/2024/position-de-carrefour-relative-au-reglement-europeen-20231115-relatif-la-lutte-contre-la" TargetMode="External"/><Relationship Id="rId11" Type="http://schemas.openxmlformats.org/officeDocument/2006/relationships/hyperlink" Target="https://siph.groupesifca.com/pdf/communiques/letter_to_eudr_151024.pdf" TargetMode="External"/><Relationship Id="rId5" Type="http://schemas.openxmlformats.org/officeDocument/2006/relationships/hyperlink" Target="https://natural-rubber.michelin.com/news-michelin-and-the-european-regulation-on-deforestation-free-products" TargetMode="External"/><Relationship Id="rId10" Type="http://schemas.openxmlformats.org/officeDocument/2006/relationships/hyperlink" Target="https://fsc.org/en/newscentre/eudr/fsc-responds-to-eu-commissions-proposal-to-postpone-eudr" TargetMode="External"/><Relationship Id="rId4" Type="http://schemas.openxmlformats.org/officeDocument/2006/relationships/hyperlink" Target="https://x.com/Danone_EU/status/1838945182345048327" TargetMode="External"/><Relationship Id="rId9" Type="http://schemas.openxmlformats.org/officeDocument/2006/relationships/hyperlink" Target="https://www.linkedin.com/posts/interbev-fr_viande-mercosur-activity-7257380829222383616-8r4O?utm_source=share&amp;utm_medium=member_desktop" TargetMode="External"/><Relationship Id="rId14" Type="http://schemas.openxmlformats.org/officeDocument/2006/relationships/hyperlink" Target="https://www.barry-callebaut.com/en/about-us/media/news-stories/statement-eud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F2C0AA4D49C4187AEA53546A6EE8C" ma:contentTypeVersion="15" ma:contentTypeDescription="Create a new document." ma:contentTypeScope="" ma:versionID="c8ce3132c8a29c9018667ee403140053">
  <xsd:schema xmlns:xsd="http://www.w3.org/2001/XMLSchema" xmlns:xs="http://www.w3.org/2001/XMLSchema" xmlns:p="http://schemas.microsoft.com/office/2006/metadata/properties" xmlns:ns2="b8b8e15c-d93d-4e90-bf0c-5465ef3edf8f" xmlns:ns3="c0976920-23fb-4914-a3ae-b9679400b7d5" targetNamespace="http://schemas.microsoft.com/office/2006/metadata/properties" ma:root="true" ma:fieldsID="8fc2c2302e8491c18e75c15aeb2585b2" ns2:_="" ns3:_="">
    <xsd:import namespace="b8b8e15c-d93d-4e90-bf0c-5465ef3edf8f"/>
    <xsd:import namespace="c0976920-23fb-4914-a3ae-b9679400b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8e15c-d93d-4e90-bf0c-5465ef3ed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d83879-60c9-4015-a380-75db1c783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6920-23fb-4914-a3ae-b9679400b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0f3ef2-69b8-4abd-babd-c6ed0dff3bba}" ma:internalName="TaxCatchAll" ma:showField="CatchAllData" ma:web="c0976920-23fb-4914-a3ae-b9679400b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76920-23fb-4914-a3ae-b9679400b7d5" xsi:nil="true"/>
    <lcf76f155ced4ddcb4097134ff3c332f xmlns="b8b8e15c-d93d-4e90-bf0c-5465ef3edf8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B81F8-E798-4F84-A332-477B08ECB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8e15c-d93d-4e90-bf0c-5465ef3edf8f"/>
    <ds:schemaRef ds:uri="c0976920-23fb-4914-a3ae-b9679400b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442D9-532A-45A7-B5C4-EE075D43E9C2}">
  <ds:schemaRefs>
    <ds:schemaRef ds:uri="http://schemas.microsoft.com/office/2006/metadata/properties"/>
    <ds:schemaRef ds:uri="http://schemas.microsoft.com/office/infopath/2007/PartnerControls"/>
    <ds:schemaRef ds:uri="c0976920-23fb-4914-a3ae-b9679400b7d5"/>
    <ds:schemaRef ds:uri="b8b8e15c-d93d-4e90-bf0c-5465ef3edf8f"/>
  </ds:schemaRefs>
</ds:datastoreItem>
</file>

<file path=customXml/itemProps3.xml><?xml version="1.0" encoding="utf-8"?>
<ds:datastoreItem xmlns:ds="http://schemas.openxmlformats.org/officeDocument/2006/customXml" ds:itemID="{DB9CEDCB-674D-4D3C-A062-A29D4A30B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546E1C-B98E-48A0-AC34-63C88B633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800</Words>
  <Characters>4658</Characters>
  <Application>Microsoft Office Word</Application>
  <DocSecurity>0</DocSecurity>
  <Lines>95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Links>
    <vt:vector size="90" baseType="variant"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https://www.youtube.com/live/pO6vCUJ50Hg</vt:lpwstr>
      </vt:variant>
      <vt:variant>
        <vt:lpwstr/>
      </vt:variant>
      <vt:variant>
        <vt:i4>1572880</vt:i4>
      </vt:variant>
      <vt:variant>
        <vt:i4>39</vt:i4>
      </vt:variant>
      <vt:variant>
        <vt:i4>0</vt:i4>
      </vt:variant>
      <vt:variant>
        <vt:i4>5</vt:i4>
      </vt:variant>
      <vt:variant>
        <vt:lpwstr>https://www.barry-callebaut.com/en/about-us/media/news-stories/statement-eudr</vt:lpwstr>
      </vt:variant>
      <vt:variant>
        <vt:lpwstr/>
      </vt:variant>
      <vt:variant>
        <vt:i4>4194369</vt:i4>
      </vt:variant>
      <vt:variant>
        <vt:i4>36</vt:i4>
      </vt:variant>
      <vt:variant>
        <vt:i4>0</vt:i4>
      </vt:variant>
      <vt:variant>
        <vt:i4>5</vt:i4>
      </vt:variant>
      <vt:variant>
        <vt:lpwstr>https://info.lidl/en/pdf/show/109935</vt:lpwstr>
      </vt:variant>
      <vt:variant>
        <vt:lpwstr/>
      </vt:variant>
      <vt:variant>
        <vt:i4>4849753</vt:i4>
      </vt:variant>
      <vt:variant>
        <vt:i4>33</vt:i4>
      </vt:variant>
      <vt:variant>
        <vt:i4>0</vt:i4>
      </vt:variant>
      <vt:variant>
        <vt:i4>5</vt:i4>
      </vt:variant>
      <vt:variant>
        <vt:lpwstr>https://www.linkedin.com/feed/update/urn:li:activity:7259491060442099712/</vt:lpwstr>
      </vt:variant>
      <vt:variant>
        <vt:lpwstr/>
      </vt:variant>
      <vt:variant>
        <vt:i4>2359360</vt:i4>
      </vt:variant>
      <vt:variant>
        <vt:i4>30</vt:i4>
      </vt:variant>
      <vt:variant>
        <vt:i4>0</vt:i4>
      </vt:variant>
      <vt:variant>
        <vt:i4>5</vt:i4>
      </vt:variant>
      <vt:variant>
        <vt:lpwstr>https://siph.groupesifca.com/pdf/communiques/letter_to_eudr_151024.pdf</vt:lpwstr>
      </vt:variant>
      <vt:variant>
        <vt:lpwstr/>
      </vt:variant>
      <vt:variant>
        <vt:i4>3866671</vt:i4>
      </vt:variant>
      <vt:variant>
        <vt:i4>27</vt:i4>
      </vt:variant>
      <vt:variant>
        <vt:i4>0</vt:i4>
      </vt:variant>
      <vt:variant>
        <vt:i4>5</vt:i4>
      </vt:variant>
      <vt:variant>
        <vt:lpwstr>https://fsc.org/en/newscentre/eudr/fsc-responds-to-eu-commissions-proposal-to-postpone-eudr</vt:lpwstr>
      </vt:variant>
      <vt:variant>
        <vt:lpwstr/>
      </vt:variant>
      <vt:variant>
        <vt:i4>6946865</vt:i4>
      </vt:variant>
      <vt:variant>
        <vt:i4>24</vt:i4>
      </vt:variant>
      <vt:variant>
        <vt:i4>0</vt:i4>
      </vt:variant>
      <vt:variant>
        <vt:i4>5</vt:i4>
      </vt:variant>
      <vt:variant>
        <vt:lpwstr>https://www.linkedin.com/posts/interbev-fr_viande-mercosur-activity-7257380829222383616-8r4O?utm_source=share&amp;utm_medium=member_desktop</vt:lpwstr>
      </vt:variant>
      <vt:variant>
        <vt:lpwstr/>
      </vt:variant>
      <vt:variant>
        <vt:i4>1441800</vt:i4>
      </vt:variant>
      <vt:variant>
        <vt:i4>21</vt:i4>
      </vt:variant>
      <vt:variant>
        <vt:i4>0</vt:i4>
      </vt:variant>
      <vt:variant>
        <vt:i4>5</vt:i4>
      </vt:variant>
      <vt:variant>
        <vt:lpwstr>https://www.danzer.com/en/company/media-relations/press-releases/item/danzer-vows-to-stick-to-original-eudr-schedule</vt:lpwstr>
      </vt:variant>
      <vt:variant>
        <vt:lpwstr/>
      </vt:variant>
      <vt:variant>
        <vt:i4>7405653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https://www.linkedin.com/posts/etg-world_commission-strengthens-support-for-eu-deforestation-activity-7249772637055336449-t_tz/?utm_source=share&amp;utm_medium=member_desktop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https://www.carrefour.com/fr/news/2024/position-de-carrefour-relative-au-reglement-europeen-20231115-relatif-la-lutte-contre-la</vt:lpwstr>
      </vt:variant>
      <vt:variant>
        <vt:lpwstr/>
      </vt:variant>
      <vt:variant>
        <vt:i4>131082</vt:i4>
      </vt:variant>
      <vt:variant>
        <vt:i4>12</vt:i4>
      </vt:variant>
      <vt:variant>
        <vt:i4>0</vt:i4>
      </vt:variant>
      <vt:variant>
        <vt:i4>5</vt:i4>
      </vt:variant>
      <vt:variant>
        <vt:lpwstr>https://natural-rubber.michelin.com/news-michelin-and-the-european-regulation-on-deforestation-free-products</vt:lpwstr>
      </vt:variant>
      <vt:variant>
        <vt:lpwstr/>
      </vt:variant>
      <vt:variant>
        <vt:i4>2949129</vt:i4>
      </vt:variant>
      <vt:variant>
        <vt:i4>9</vt:i4>
      </vt:variant>
      <vt:variant>
        <vt:i4>0</vt:i4>
      </vt:variant>
      <vt:variant>
        <vt:i4>5</vt:i4>
      </vt:variant>
      <vt:variant>
        <vt:lpwstr>https://x.com/Danone_EU/status/1838945182345048327</vt:lpwstr>
      </vt:variant>
      <vt:variant>
        <vt:lpwstr/>
      </vt:variant>
      <vt:variant>
        <vt:i4>786458</vt:i4>
      </vt:variant>
      <vt:variant>
        <vt:i4>6</vt:i4>
      </vt:variant>
      <vt:variant>
        <vt:i4>0</vt:i4>
      </vt:variant>
      <vt:variant>
        <vt:i4>5</vt:i4>
      </vt:variant>
      <vt:variant>
        <vt:lpwstr>https://www.ferrero.com/int/en/people-planet/source-our-ingredients-sustainably/our-sourcing-approach</vt:lpwstr>
      </vt:variant>
      <vt:variant>
        <vt:lpwstr/>
      </vt:variant>
      <vt:variant>
        <vt:i4>4259934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https://www.linkedin.com/feed/update/urn:li:activity:7252589365334306817/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https://eur-lex.europa.eu/legal-content/SL/XT/?uri=OJ:L:2023:150:TOC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Tome</dc:creator>
  <cp:keywords/>
  <cp:lastModifiedBy>Nina Tome</cp:lastModifiedBy>
  <cp:revision>126</cp:revision>
  <dcterms:created xsi:type="dcterms:W3CDTF">2024-11-19T20:46:00Z</dcterms:created>
  <dcterms:modified xsi:type="dcterms:W3CDTF">2024-11-20T08:08:00Z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0x01010030DF2C0AA4D49C4187AEA53546A6EE8C</vt:lpwstr>
  </property>
  <property fmtid="{D5CDD505-2E9C-101B-9397-08002B2CF9AE}" pid="3" name="MediaServiceImageTags">
    <vt:lpwstr/>
  </property>
</Properties>
</file>